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78" w:rsidRDefault="0085561F" w:rsidP="009C6015">
      <w:pPr>
        <w:shd w:val="clear" w:color="auto" w:fill="FFFFFF"/>
        <w:spacing w:after="0" w:line="240" w:lineRule="auto"/>
        <w:jc w:val="center"/>
        <w:textAlignment w:val="baseline"/>
        <w:rPr>
          <w:rFonts w:ascii="Bookman Old Style" w:eastAsia="Times New Roman" w:hAnsi="Bookman Old Style" w:cs="Arial"/>
          <w:b/>
          <w:bCs/>
          <w:sz w:val="24"/>
          <w:szCs w:val="24"/>
        </w:rPr>
      </w:pPr>
      <w:r>
        <w:rPr>
          <w:rFonts w:ascii="Bookman Old Style" w:eastAsia="Times New Roman" w:hAnsi="Bookman Old Style" w:cs="Arial"/>
          <w:b/>
          <w:bCs/>
          <w:sz w:val="24"/>
          <w:szCs w:val="24"/>
        </w:rPr>
        <w:t>ΣΗΜΕΙΩΣΕΙΣ 2</w:t>
      </w:r>
    </w:p>
    <w:p w:rsidR="00792278" w:rsidRDefault="00792278" w:rsidP="009C6015">
      <w:pPr>
        <w:shd w:val="clear" w:color="auto" w:fill="FFFFFF"/>
        <w:spacing w:after="0" w:line="240" w:lineRule="auto"/>
        <w:jc w:val="center"/>
        <w:textAlignment w:val="baseline"/>
        <w:rPr>
          <w:rFonts w:ascii="Bookman Old Style" w:eastAsia="Times New Roman" w:hAnsi="Bookman Old Style" w:cs="Arial"/>
          <w:b/>
          <w:bCs/>
          <w:sz w:val="24"/>
          <w:szCs w:val="24"/>
        </w:rPr>
      </w:pPr>
    </w:p>
    <w:p w:rsidR="009C6015" w:rsidRDefault="009C6015" w:rsidP="009C6015">
      <w:pPr>
        <w:shd w:val="clear" w:color="auto" w:fill="FFFFFF"/>
        <w:spacing w:after="0" w:line="240" w:lineRule="auto"/>
        <w:jc w:val="center"/>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ΥΠΟΚΕΙΜΕΝΑ ΤΟΥ ΔΙΚΑΙΟΥ</w:t>
      </w:r>
    </w:p>
    <w:p w:rsidR="009C6015" w:rsidRDefault="009C6015" w:rsidP="009C6015">
      <w:pPr>
        <w:shd w:val="clear" w:color="auto" w:fill="FFFFFF"/>
        <w:spacing w:after="0" w:line="240" w:lineRule="auto"/>
        <w:textAlignment w:val="baseline"/>
        <w:rPr>
          <w:rFonts w:ascii="Bookman Old Style" w:eastAsia="Times New Roman" w:hAnsi="Bookman Old Style" w:cs="Arial"/>
          <w:b/>
          <w:bCs/>
          <w:sz w:val="24"/>
          <w:szCs w:val="24"/>
        </w:rPr>
      </w:pPr>
    </w:p>
    <w:p w:rsidR="009C6015" w:rsidRDefault="009C6015" w:rsidP="009C6015">
      <w:pPr>
        <w:shd w:val="clear" w:color="auto" w:fill="FFFFFF"/>
        <w:spacing w:after="0" w:line="240" w:lineRule="auto"/>
        <w:jc w:val="center"/>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I.    ΙΚΑΝΟΤΗΤΑ ΔΙΚΑΙΟΥ</w:t>
      </w: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Η ικανότητα δικαίου είναι η ικανότητα να είναι κανείς υποκείμενο δικαιωμάτων και υποχρεώσεων. Υποκείμενα έννομων σχέσεων είναι τα πρόσωπα τα οποία είναι υποκείμενα δικαιωμάτων και υποχρεώσεων, γιατί από κάθε έννομη σχέση πηγάζουν δικαιώματα και υποχρεώσεις</w:t>
      </w:r>
    </w:p>
    <w:p w:rsidR="009C6015" w:rsidRDefault="009C6015" w:rsidP="009C6015">
      <w:pPr>
        <w:shd w:val="clear" w:color="auto" w:fill="FFFFFF"/>
        <w:spacing w:after="0" w:line="240" w:lineRule="auto"/>
        <w:jc w:val="center"/>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II.    ΕΙΔΗ ΠΡΟΣΩΠΩΝ</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1.    Φυσικά πρόσωπα</w:t>
      </w: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 xml:space="preserve">Όλοι οι άνθρωποι ανεξαρτήτως ηλικίας , φύλου , ιθαγένειας. Ο Αστικός Κώδικας </w:t>
      </w:r>
      <w:r>
        <w:rPr>
          <w:rFonts w:ascii="Bookman Old Style" w:eastAsia="Times New Roman" w:hAnsi="Bookman Old Style" w:cs="Arial"/>
          <w:sz w:val="24"/>
          <w:szCs w:val="24"/>
          <w:u w:val="single"/>
        </w:rPr>
        <w:t>(ΑΚ)στο άρθρο 34</w:t>
      </w:r>
      <w:r>
        <w:rPr>
          <w:rFonts w:ascii="Bookman Old Style" w:eastAsia="Times New Roman" w:hAnsi="Bookman Old Style" w:cs="Arial"/>
          <w:sz w:val="24"/>
          <w:szCs w:val="24"/>
        </w:rPr>
        <w:t xml:space="preserve"> «κάθε άνθρωπος είναι ικανός να έχει δικαιώματα και υποχρεώσεις» θεωρείται πρόσωπο από τη φύση του. Φέρει δύο βιολογικά στοιχεία : α) ανθρώπινο σώμα και β) ζωή.</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2.    Νομικά πρόσωπα</w:t>
      </w: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Ενώσεις προσώπων που επιδιώκουν ορισμένο σκοπό ή σύνολα περιούσιας που έχουν ταχθεί για ορισμένο σκοπό, τηρώντας τους όρους του νόμου. Έχουν αυτοτελή προσωπικότητα (νομική), δηλ. είναι υποκείμενα δικαιωμάτων και υποχρεώσεων. Ονομάζονται Νομικά πρόσωπα γιατί δεν είναι όπως ο άνθρωπος αλλά την νομική τους υπόσταση την παίρνουν από τον νόμο</w:t>
      </w:r>
    </w:p>
    <w:p w:rsidR="009C6015" w:rsidRDefault="009C6015" w:rsidP="009C6015">
      <w:pPr>
        <w:shd w:val="clear" w:color="auto" w:fill="FFFFFF"/>
        <w:spacing w:after="0" w:line="240" w:lineRule="auto"/>
        <w:jc w:val="center"/>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Α. ΦΥΣΙΚΟ ΠΡΟΣΩΠΟ</w:t>
      </w:r>
    </w:p>
    <w:p w:rsidR="009C6015" w:rsidRDefault="009C6015" w:rsidP="009C6015">
      <w:pPr>
        <w:shd w:val="clear" w:color="auto" w:fill="FFFFFF"/>
        <w:spacing w:after="0" w:line="240" w:lineRule="auto"/>
        <w:textAlignment w:val="baseline"/>
        <w:rPr>
          <w:rFonts w:ascii="Bookman Old Style" w:eastAsia="Times New Roman" w:hAnsi="Bookman Old Style" w:cs="Arial"/>
          <w:b/>
          <w:bCs/>
          <w:sz w:val="24"/>
          <w:szCs w:val="24"/>
        </w:rPr>
      </w:pP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  I.    ΑΡΧΗ ΚΑΙ ΤΕΛΟΣ ΤΟΥ ΦΥΣΙΚΟΥ ΠΡΟΣΩΠΟΥ</w:t>
      </w: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u w:val="single"/>
        </w:rPr>
        <w:t>Άρθρο 35 ΑΚ</w:t>
      </w:r>
      <w:r>
        <w:rPr>
          <w:rFonts w:ascii="Bookman Old Style" w:eastAsia="Times New Roman" w:hAnsi="Bookman Old Style" w:cs="Arial"/>
          <w:sz w:val="24"/>
          <w:szCs w:val="24"/>
        </w:rPr>
        <w:t xml:space="preserve"> «το πρόσωπο αρχίζει να υπάρχει μόλις γεννηθεί ζωντανό και παύει να υπάρχει με το θάνατό του» </w:t>
      </w:r>
    </w:p>
    <w:p w:rsidR="009C6015" w:rsidRDefault="009C6015" w:rsidP="009C6015">
      <w:pPr>
        <w:shd w:val="clear" w:color="auto" w:fill="FFFFFF"/>
        <w:spacing w:after="0" w:line="240" w:lineRule="auto"/>
        <w:textAlignment w:val="baseline"/>
        <w:rPr>
          <w:rFonts w:ascii="Bookman Old Style" w:eastAsia="Times New Roman" w:hAnsi="Bookman Old Style" w:cs="Arial"/>
          <w:b/>
          <w:bCs/>
          <w:sz w:val="24"/>
          <w:szCs w:val="24"/>
        </w:rPr>
      </w:pPr>
    </w:p>
    <w:p w:rsidR="009C6015" w:rsidRDefault="009C6015" w:rsidP="009C6015">
      <w:pPr>
        <w:shd w:val="clear" w:color="auto" w:fill="FFFFFF"/>
        <w:spacing w:after="0" w:line="240" w:lineRule="auto"/>
        <w:textAlignment w:val="baseline"/>
        <w:rPr>
          <w:rFonts w:ascii="Bookman Old Style" w:eastAsia="Times New Roman" w:hAnsi="Bookman Old Style" w:cs="Arial"/>
          <w:b/>
          <w:bCs/>
          <w:sz w:val="24"/>
          <w:szCs w:val="24"/>
        </w:rPr>
      </w:pP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1.Έναρξη φυσικού προσώπου</w:t>
      </w: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 xml:space="preserve">«Το πρόσωπο αρχίζει να υπάρχει μόλις γεννηθεί ζωντανό…» </w:t>
      </w: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Αν γεννηθεί ζωντανό αποτελεί αφετηρία και για την προσωπικότητα του. Μόλις βγει από το μητρικό σώμα αποκτά ικανότητα δικαίου έστω και αν αναπνεύσει έστω μια στιγμή ή ανεξάρτητα αν γεννήθηκε βιώσιμο ή όχι</w:t>
      </w: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u w:val="single"/>
        </w:rPr>
        <w:t>Άρθρο 36ΑΚ</w:t>
      </w:r>
      <w:r>
        <w:rPr>
          <w:rFonts w:ascii="Bookman Old Style" w:eastAsia="Times New Roman" w:hAnsi="Bookman Old Style" w:cs="Arial"/>
          <w:sz w:val="24"/>
          <w:szCs w:val="24"/>
        </w:rPr>
        <w:t xml:space="preserve"> λέει ότι παιδί που δεν έχει γεννηθεί αλλά κυοφορείται θεωρείται ως προς τα δικαιώματα που του υπάγονται σαν να ήταν γεννημένο από την στιγμή της σύλληψης του (Σημαντικό π.χ. για  κληρονομικές σχέσεις: Άρθρο 1814 &amp; 1820 ΑΚ  πχ άνδρας που άφησε έγκυο γυναίκα και πέθανε, η κληρονομιά του ανήκει ¼ στη γυναίκα και ¾ στο παιδί αν γεννηθεί ζωντανό και αποκλείονται λοιποί </w:t>
      </w:r>
      <w:proofErr w:type="spellStart"/>
      <w:r>
        <w:rPr>
          <w:rFonts w:ascii="Bookman Old Style" w:eastAsia="Times New Roman" w:hAnsi="Bookman Old Style" w:cs="Arial"/>
          <w:sz w:val="24"/>
          <w:szCs w:val="24"/>
        </w:rPr>
        <w:t>συγγενείς.Αν</w:t>
      </w:r>
      <w:proofErr w:type="spellEnd"/>
      <w:r>
        <w:rPr>
          <w:rFonts w:ascii="Bookman Old Style" w:eastAsia="Times New Roman" w:hAnsi="Bookman Old Style" w:cs="Arial"/>
          <w:sz w:val="24"/>
          <w:szCs w:val="24"/>
        </w:rPr>
        <w:t xml:space="preserve"> γεννηθεί νεκρό τότε γυναίκα ½ και γονείς και αδέρφια του </w:t>
      </w:r>
      <w:r>
        <w:rPr>
          <w:rFonts w:ascii="Bookman Old Style" w:eastAsia="Times New Roman" w:hAnsi="Bookman Old Style" w:cs="Arial"/>
          <w:sz w:val="24"/>
          <w:szCs w:val="24"/>
        </w:rPr>
        <w:lastRenderedPageBreak/>
        <w:t>θανόντος το άλλο 1/. Αν γεννηθεί ζωντανό και μετά πεθάνει ,τότε η κληρονομιά που του ανήκει  ¾ πηγαίνουν στην μητέρα του και όχι σε λοιπούς συγγενείς)</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2.Τέλος φυσικού προσώπου</w:t>
      </w: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Το τέλος φυσικού προσώπου επέρχεται με τον θάνατο του, με χρόνο που καθορίζεται από την ιατρική επιστήμη</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3.Απόδειξη αρχής και τέλους φυσικού προσώπου</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(Άρθρο 37ΑΚ) κάποιος που ισχυρίζεται ότι κάποιος ζει ή πέθανε ή πέθανε νωρίτερα ή αργότερα από κάποιον άλλο πρέπει να το τεκμηριώσει –αυτό γίνεται με τρόπο όπως σχετική ληξιαρχική πράξη που στηρίζεται σε ιατρική βεβαίωση (π.χ. εκμισθωτής πέθανε και ο γιος του ζητάει τα ενοίκια από τον μισθωτή ,για να πάρει τα μισθώματα πρέπει να αποδείξει ότι ο εκμισθωτής πέθανε και ότι αυτός είναι ο κληρονόμος του)</w:t>
      </w:r>
    </w:p>
    <w:p w:rsidR="00DF150D" w:rsidRDefault="003B0521"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 xml:space="preserve"> </w:t>
      </w:r>
      <w:r w:rsidRPr="00581447">
        <w:rPr>
          <w:rFonts w:ascii="Bookman Old Style" w:eastAsia="Times New Roman" w:hAnsi="Bookman Old Style" w:cs="Arial"/>
          <w:sz w:val="24"/>
          <w:szCs w:val="24"/>
          <w:u w:val="single"/>
        </w:rPr>
        <w:t>Τεκμήριο θανάτου</w:t>
      </w:r>
      <w:r>
        <w:rPr>
          <w:rFonts w:ascii="Bookman Old Style" w:eastAsia="Times New Roman" w:hAnsi="Bookman Old Style" w:cs="Arial"/>
          <w:sz w:val="24"/>
          <w:szCs w:val="24"/>
        </w:rPr>
        <w:t xml:space="preserve">. Στην περίπτωση που ο θάνατος ενός προσώπου, που δεν βρέθηκε πτώμα, είναι βέβαιος, υπό συνθήκες που δεν επιτρέπουν μαρτυρίες προσώπων, δημιουργείται τεκμήριο θανάτου. Επίσης δημιουργείται τεκμήριο </w:t>
      </w:r>
      <w:proofErr w:type="spellStart"/>
      <w:r>
        <w:rPr>
          <w:rFonts w:ascii="Bookman Old Style" w:eastAsia="Times New Roman" w:hAnsi="Bookman Old Style" w:cs="Arial"/>
          <w:sz w:val="24"/>
          <w:szCs w:val="24"/>
        </w:rPr>
        <w:t>συναποβίωσης</w:t>
      </w:r>
      <w:proofErr w:type="spellEnd"/>
      <w:r>
        <w:rPr>
          <w:rFonts w:ascii="Bookman Old Style" w:eastAsia="Times New Roman" w:hAnsi="Bookman Old Style" w:cs="Arial"/>
          <w:sz w:val="24"/>
          <w:szCs w:val="24"/>
        </w:rPr>
        <w:t>, όταν έχουν πεθάνει περισσότεροι και δεν μπορεί να αποδειχτεί ότι ο ένας επέζησε από κάποιον άλλο.</w:t>
      </w:r>
    </w:p>
    <w:p w:rsidR="00581447" w:rsidRPr="00581447" w:rsidRDefault="00581447" w:rsidP="009C6015">
      <w:pPr>
        <w:shd w:val="clear" w:color="auto" w:fill="FFFFFF"/>
        <w:spacing w:after="360" w:line="240" w:lineRule="auto"/>
        <w:textAlignment w:val="baseline"/>
        <w:rPr>
          <w:rFonts w:ascii="Bookman Old Style" w:eastAsia="Times New Roman" w:hAnsi="Bookman Old Style" w:cs="Arial"/>
          <w:sz w:val="24"/>
          <w:szCs w:val="24"/>
          <w:u w:val="single"/>
        </w:rPr>
      </w:pPr>
      <w:r w:rsidRPr="00581447">
        <w:rPr>
          <w:rFonts w:ascii="Bookman Old Style" w:eastAsia="Times New Roman" w:hAnsi="Bookman Old Style" w:cs="Arial"/>
          <w:sz w:val="24"/>
          <w:szCs w:val="24"/>
          <w:u w:val="single"/>
        </w:rPr>
        <w:t>Αφάνεια</w:t>
      </w:r>
      <w:r>
        <w:rPr>
          <w:rFonts w:ascii="Bookman Old Style" w:eastAsia="Times New Roman" w:hAnsi="Bookman Old Style" w:cs="Arial"/>
          <w:sz w:val="24"/>
          <w:szCs w:val="24"/>
          <w:u w:val="single"/>
        </w:rPr>
        <w:t xml:space="preserve">. </w:t>
      </w:r>
      <w:r w:rsidRPr="00581447">
        <w:rPr>
          <w:rFonts w:ascii="Bookman Old Style" w:eastAsia="Times New Roman" w:hAnsi="Bookman Old Style" w:cs="Arial"/>
          <w:sz w:val="24"/>
          <w:szCs w:val="24"/>
        </w:rPr>
        <w:t>Σ</w:t>
      </w:r>
      <w:r>
        <w:rPr>
          <w:rFonts w:ascii="Bookman Old Style" w:eastAsia="Times New Roman" w:hAnsi="Bookman Old Style" w:cs="Arial"/>
          <w:sz w:val="24"/>
          <w:szCs w:val="24"/>
        </w:rPr>
        <w:t xml:space="preserve">ύμφωνα με τον Αστικό Κώδικα, στις περιπτώσεις που ο θάνατος ενός προσώπου είναι πολύ πιθανός, επειδή εξαφανίστηκε ενώ βρισκόταν σε κίνδυνο ζωής για τουλάχιστον ένα έτος ή απουσιάζει για χρονικό διάστημα τουλάχιστον πέντε ετών, χωρίς ειδήσεις, προβλέπεται διαδικασία κήρυξης του προσώπου αυτού σε αφάνεια, με αμετάκλητη δικαστική απόφαση, από την δημοσίευση της περίληψης της οποίας στον τύπο δημιουργείται τεκμήριο θανάτου του </w:t>
      </w:r>
      <w:proofErr w:type="spellStart"/>
      <w:r>
        <w:rPr>
          <w:rFonts w:ascii="Bookman Old Style" w:eastAsia="Times New Roman" w:hAnsi="Bookman Old Style" w:cs="Arial"/>
          <w:sz w:val="24"/>
          <w:szCs w:val="24"/>
        </w:rPr>
        <w:t>αφάντου</w:t>
      </w:r>
      <w:proofErr w:type="spellEnd"/>
      <w:r>
        <w:rPr>
          <w:rFonts w:ascii="Bookman Old Style" w:eastAsia="Times New Roman" w:hAnsi="Bookman Old Style" w:cs="Arial"/>
          <w:sz w:val="24"/>
          <w:szCs w:val="24"/>
        </w:rPr>
        <w:t>.</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 xml:space="preserve">II.    ΣΤΟΙΧΕΙΑ ΕΞΑΤΟΜΙΚΕΥΣΗΣ ΦΥΣΙΚΟΥ ΠΡΟΣΩΠΟΥ – ΙΔΙΟΤΗΤΕΣ </w:t>
      </w:r>
    </w:p>
    <w:p w:rsidR="009C6015" w:rsidRDefault="009C6015" w:rsidP="009C6015">
      <w:pPr>
        <w:shd w:val="clear" w:color="auto" w:fill="FFFFFF"/>
        <w:spacing w:after="0" w:line="240" w:lineRule="auto"/>
        <w:textAlignment w:val="baseline"/>
        <w:rPr>
          <w:rFonts w:ascii="Bookman Old Style" w:eastAsia="Times New Roman" w:hAnsi="Bookman Old Style" w:cs="Arial"/>
          <w:b/>
          <w:bCs/>
          <w:sz w:val="24"/>
          <w:szCs w:val="24"/>
        </w:rPr>
      </w:pP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1.    Όνομα</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Το  όνομα που περιλαμβάνει το επώνυμο και το κύριο όνομα </w:t>
      </w:r>
      <w:r>
        <w:rPr>
          <w:rFonts w:ascii="Bookman Old Style" w:eastAsia="Times New Roman" w:hAnsi="Bookman Old Style" w:cs="Arial"/>
          <w:sz w:val="24"/>
          <w:szCs w:val="24"/>
          <w:u w:val="single"/>
          <w:bdr w:val="none" w:sz="0" w:space="0" w:color="auto" w:frame="1"/>
        </w:rPr>
        <w:t>χρησιμεύει</w:t>
      </w:r>
      <w:r>
        <w:rPr>
          <w:rFonts w:ascii="Bookman Old Style" w:eastAsia="Times New Roman" w:hAnsi="Bookman Old Style" w:cs="Arial"/>
          <w:sz w:val="24"/>
          <w:szCs w:val="24"/>
        </w:rPr>
        <w:t> ως διακριτικό μέσο για την νομική εξατομίκευση του ανθρώπου</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Ο καθορισμός του </w:t>
      </w:r>
      <w:r>
        <w:rPr>
          <w:rFonts w:ascii="Bookman Old Style" w:eastAsia="Times New Roman" w:hAnsi="Bookman Old Style" w:cs="Arial"/>
          <w:sz w:val="24"/>
          <w:szCs w:val="24"/>
          <w:u w:val="single"/>
          <w:bdr w:val="none" w:sz="0" w:space="0" w:color="auto" w:frame="1"/>
        </w:rPr>
        <w:t>κύριου ονόματος</w:t>
      </w:r>
      <w:r>
        <w:rPr>
          <w:rFonts w:ascii="Bookman Old Style" w:eastAsia="Times New Roman" w:hAnsi="Bookman Old Style" w:cs="Arial"/>
          <w:sz w:val="24"/>
          <w:szCs w:val="24"/>
        </w:rPr>
        <w:t> γίνεται από τον γονέα που έχει την επιμέλεια του παιδιού (κατά κανόνα και από τους δύο γονείς)</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Α) </w:t>
      </w:r>
      <w:r>
        <w:rPr>
          <w:rFonts w:ascii="Bookman Old Style" w:eastAsia="Times New Roman" w:hAnsi="Bookman Old Style" w:cs="Arial"/>
          <w:sz w:val="24"/>
          <w:szCs w:val="24"/>
          <w:u w:val="single"/>
          <w:bdr w:val="none" w:sz="0" w:space="0" w:color="auto" w:frame="1"/>
        </w:rPr>
        <w:t>τα παιδιά με γάμο</w:t>
      </w:r>
      <w:r>
        <w:rPr>
          <w:rFonts w:ascii="Bookman Old Style" w:eastAsia="Times New Roman" w:hAnsi="Bookman Old Style" w:cs="Arial"/>
          <w:sz w:val="24"/>
          <w:szCs w:val="24"/>
        </w:rPr>
        <w:t> γονιών παίρνουν επώνυμο σύμφωνα με την κοινή αμετάκλητη δήλωση τους πριν τον γάμο τους Άρθρο  1505.1 ΑΚ (παίρνουν επώνυμο πατέρα ή μητέρας ή συνδυασμός και των 2 για όλα τα παιδία από ίδιους γονείς Άρθρο  1505.2 ΑΚ -αν γονείς δεν δηλώσουν ποιο επώνυμο επιθυμούν τότε τα παιδία παίρνουν το επώνυμο του πατέρα τους Άρθρο  1505.3 ΑΚ)</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Β) </w:t>
      </w:r>
      <w:r>
        <w:rPr>
          <w:rFonts w:ascii="Bookman Old Style" w:eastAsia="Times New Roman" w:hAnsi="Bookman Old Style" w:cs="Arial"/>
          <w:sz w:val="24"/>
          <w:szCs w:val="24"/>
          <w:u w:val="single"/>
          <w:bdr w:val="none" w:sz="0" w:space="0" w:color="auto" w:frame="1"/>
        </w:rPr>
        <w:t>τα παιδιά χωρίς γάμο</w:t>
      </w:r>
      <w:r>
        <w:rPr>
          <w:rFonts w:ascii="Bookman Old Style" w:eastAsia="Times New Roman" w:hAnsi="Bookman Old Style" w:cs="Arial"/>
          <w:sz w:val="24"/>
          <w:szCs w:val="24"/>
        </w:rPr>
        <w:t xml:space="preserve"> γονιών παίρνουν επώνυμο μητέρας Άρθρο  1506.1ΑΚ –αν αναγνωριστεί από πατέρα τότε προστίθεται στο </w:t>
      </w:r>
      <w:r>
        <w:rPr>
          <w:rFonts w:ascii="Bookman Old Style" w:eastAsia="Times New Roman" w:hAnsi="Bookman Old Style" w:cs="Arial"/>
          <w:sz w:val="24"/>
          <w:szCs w:val="24"/>
        </w:rPr>
        <w:lastRenderedPageBreak/>
        <w:t>όνομα του παιδιού με δήλωση στο ληξιαρχείο και το επώνυμο του πατέρα 1506.3ΑΚ</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Γ) </w:t>
      </w:r>
      <w:r>
        <w:rPr>
          <w:rFonts w:ascii="Bookman Old Style" w:eastAsia="Times New Roman" w:hAnsi="Bookman Old Style" w:cs="Arial"/>
          <w:sz w:val="24"/>
          <w:szCs w:val="24"/>
          <w:u w:val="single"/>
          <w:bdr w:val="none" w:sz="0" w:space="0" w:color="auto" w:frame="1"/>
        </w:rPr>
        <w:t>το παιδί που υιοθετείται</w:t>
      </w:r>
      <w:r>
        <w:rPr>
          <w:rFonts w:ascii="Bookman Old Style" w:eastAsia="Times New Roman" w:hAnsi="Bookman Old Style" w:cs="Arial"/>
          <w:sz w:val="24"/>
          <w:szCs w:val="24"/>
        </w:rPr>
        <w:t> παίρνει το επώνυμο του θετού γονέα Άρθρο  1563 ΑΚ</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Δ) </w:t>
      </w:r>
      <w:r>
        <w:rPr>
          <w:rFonts w:ascii="Bookman Old Style" w:eastAsia="Times New Roman" w:hAnsi="Bookman Old Style" w:cs="Arial"/>
          <w:sz w:val="24"/>
          <w:szCs w:val="24"/>
          <w:u w:val="single"/>
          <w:bdr w:val="none" w:sz="0" w:space="0" w:color="auto" w:frame="1"/>
        </w:rPr>
        <w:t>το επώνυμο γυναίκας</w:t>
      </w:r>
      <w:r>
        <w:rPr>
          <w:rFonts w:ascii="Bookman Old Style" w:eastAsia="Times New Roman" w:hAnsi="Bookman Old Style" w:cs="Arial"/>
          <w:sz w:val="24"/>
          <w:szCs w:val="24"/>
        </w:rPr>
        <w:t> δεν μεταβάλλεται με τον γάμο Άρθρο  1388.1 ΑΚ σε κοινωνικές σχέσεις και συναίνεση του συζύγου μπορεί να το προσθέτει στο δικό του</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2.    Φύλο</w:t>
      </w: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Αποτελεί και αυτό μέσο για τον προσδιορισμό της ταυτότητας του προσώπου .(Άρθρο 4.2ΣΥΝΤ την αρχή της ισότητα των δύο φυλών)</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3.    Ηλικία</w:t>
      </w: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 xml:space="preserve">Ηλικία είναι το χρονικό διάστημα που έχει περάσει από τη γέννηση του προσώπου. Η συμπλήρωση ορισμένης ηλικίας θεωρείται από τον νόμο κριτήριο ότι το άτομο έχει αποκτήσει μια πνευματική ωριμότητα και ικανότητα, για δικαιοπραξία ή αδικοπραξία ,ικανότητα για κατάρτιση σύμβασης εργασίας κλπ  </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4.    Συγγένεια</w:t>
      </w: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Είναι η σχέση που δημιουργείται μεταξύ των ανθρώπων με τη γέννηση ή το γάμο. Διακρίνεται σε εξ αίματος Άρθρο  1461 ΑΚ (δύο πρόσωπα που το ένα κατάγεται από το άλλο γονέας –παιδί είτε και τα δύο κατάγονται από ένα τρίτο πρόσωπο - αδέρφια )και εξ αγχιστείας Άρθρο  1462 ΑΚ (είναι σχέση που συνδέει τους εξ αίματος συγγενείς του ενός με τον άλλον σύζυγο –πχ γονείς και αδέρφια της Α είναι συγγενείς εξ αγχιστείας με τον σύζυγο της Α).</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5.    Ιθαγένεια ή Υπηκοότητα</w:t>
      </w: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Είναι ο νομικός σύνδεσμος ενός προσώπου με μια ορισμένη πολιτεία, μέλος του λαού της οποίας αποτελεί το πρόσωπο αυτό. Με βάση την ιθαγένεια τα πρόσωπα διακρίνονται σε ημεδαπούς (αυτοί που έχουν την ελληνική ιθαγένεια) και αλλοδαπούς</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6.    Κατοικία</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Cs/>
          <w:sz w:val="24"/>
          <w:szCs w:val="24"/>
        </w:rPr>
        <w:t>A.   Έννοια της κατοικίας</w:t>
      </w: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Κατοικία είναι ο σταθερός νομικός δεσμός του προσώπου προς τον τόπο (εδαφική περιφέρεια) της κύριας και μόνιμης εγκατάστασής του, τόπος στον οποίο ένα πρόσωπο εγκαταστάθηκε με την πρόθεση να τον κάνει μόνιμο κέντρο των βιοτικών του σχέσεων, κοινωνικών και επαγγελματικών δραστηριοτήτων του (Άρθρο  51 ΑΚ)</w:t>
      </w: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Cs/>
          <w:sz w:val="24"/>
          <w:szCs w:val="24"/>
        </w:rPr>
        <w:t>Διακρίσεις: Ι)</w:t>
      </w:r>
      <w:r>
        <w:rPr>
          <w:rFonts w:ascii="Bookman Old Style" w:eastAsia="Times New Roman" w:hAnsi="Bookman Old Style" w:cs="Arial"/>
          <w:sz w:val="24"/>
          <w:szCs w:val="24"/>
        </w:rPr>
        <w:t> </w:t>
      </w:r>
      <w:r>
        <w:rPr>
          <w:rFonts w:ascii="Bookman Old Style" w:eastAsia="Times New Roman" w:hAnsi="Bookman Old Style" w:cs="Arial"/>
          <w:bCs/>
          <w:sz w:val="24"/>
          <w:szCs w:val="24"/>
        </w:rPr>
        <w:t>Εκούσια </w:t>
      </w:r>
      <w:r>
        <w:rPr>
          <w:rFonts w:ascii="Bookman Old Style" w:eastAsia="Times New Roman" w:hAnsi="Bookman Old Style" w:cs="Arial"/>
          <w:sz w:val="24"/>
          <w:szCs w:val="24"/>
        </w:rPr>
        <w:t>= είναι αυτή που έχει επιλέγει </w:t>
      </w:r>
      <w:r>
        <w:rPr>
          <w:rFonts w:ascii="Bookman Old Style" w:eastAsia="Times New Roman" w:hAnsi="Bookman Old Style" w:cs="Arial"/>
          <w:sz w:val="24"/>
          <w:szCs w:val="24"/>
          <w:u w:val="single"/>
          <w:bdr w:val="none" w:sz="0" w:space="0" w:color="auto" w:frame="1"/>
        </w:rPr>
        <w:t>ελεύθερα</w:t>
      </w:r>
      <w:r>
        <w:rPr>
          <w:rFonts w:ascii="Bookman Old Style" w:eastAsia="Times New Roman" w:hAnsi="Bookman Old Style" w:cs="Arial"/>
          <w:sz w:val="24"/>
          <w:szCs w:val="24"/>
        </w:rPr>
        <w:t xml:space="preserve"> από ένα πρόσωπο. Απαραίτητα στοιχεία για να αποκτήσει ένα άτομο εκούσια κατοικία είναι τα εξής: α) </w:t>
      </w:r>
      <w:r>
        <w:rPr>
          <w:rFonts w:ascii="Bookman Old Style" w:eastAsia="Times New Roman" w:hAnsi="Bookman Old Style" w:cs="Arial"/>
          <w:sz w:val="24"/>
          <w:szCs w:val="24"/>
          <w:u w:val="single"/>
          <w:bdr w:val="none" w:sz="0" w:space="0" w:color="auto" w:frame="1"/>
        </w:rPr>
        <w:t>πραγματική εγκατάσταση</w:t>
      </w:r>
      <w:r>
        <w:rPr>
          <w:rFonts w:ascii="Bookman Old Style" w:eastAsia="Times New Roman" w:hAnsi="Bookman Old Style" w:cs="Arial"/>
          <w:sz w:val="24"/>
          <w:szCs w:val="24"/>
        </w:rPr>
        <w:t>  σε ορισμένο τόπο, β)  </w:t>
      </w:r>
      <w:r>
        <w:rPr>
          <w:rFonts w:ascii="Bookman Old Style" w:eastAsia="Times New Roman" w:hAnsi="Bookman Old Style" w:cs="Arial"/>
          <w:sz w:val="24"/>
          <w:szCs w:val="24"/>
          <w:u w:val="single"/>
          <w:bdr w:val="none" w:sz="0" w:space="0" w:color="auto" w:frame="1"/>
        </w:rPr>
        <w:t>πρόθεση του ατόμου να κάνει τον τόπο αυτό μόνιμο κέντρο</w:t>
      </w:r>
      <w:r>
        <w:rPr>
          <w:rFonts w:ascii="Bookman Old Style" w:eastAsia="Times New Roman" w:hAnsi="Bookman Old Style" w:cs="Arial"/>
          <w:sz w:val="24"/>
          <w:szCs w:val="24"/>
        </w:rPr>
        <w:t> των βιοτικών του σχέσεων ΙΙ</w:t>
      </w:r>
      <w:r>
        <w:rPr>
          <w:rFonts w:ascii="Bookman Old Style" w:eastAsia="Times New Roman" w:hAnsi="Bookman Old Style" w:cs="Arial"/>
          <w:bCs/>
          <w:sz w:val="24"/>
          <w:szCs w:val="24"/>
        </w:rPr>
        <w:t>)</w:t>
      </w:r>
      <w:r>
        <w:rPr>
          <w:rFonts w:ascii="Bookman Old Style" w:eastAsia="Times New Roman" w:hAnsi="Bookman Old Style" w:cs="Arial"/>
          <w:sz w:val="24"/>
          <w:szCs w:val="24"/>
        </w:rPr>
        <w:t> </w:t>
      </w:r>
      <w:r>
        <w:rPr>
          <w:rFonts w:ascii="Bookman Old Style" w:eastAsia="Times New Roman" w:hAnsi="Bookman Old Style" w:cs="Arial"/>
          <w:bCs/>
          <w:sz w:val="24"/>
          <w:szCs w:val="24"/>
        </w:rPr>
        <w:t>Νόμιμη ή Αναγκαία </w:t>
      </w:r>
      <w:r>
        <w:rPr>
          <w:rFonts w:ascii="Bookman Old Style" w:eastAsia="Times New Roman" w:hAnsi="Bookman Old Style" w:cs="Arial"/>
          <w:sz w:val="24"/>
          <w:szCs w:val="24"/>
        </w:rPr>
        <w:t>= είναι  εκείνη που καθορίζεται από το νόμο (π.χ. ανήλικοι)</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Cs/>
          <w:sz w:val="24"/>
          <w:szCs w:val="24"/>
        </w:rPr>
        <w:lastRenderedPageBreak/>
        <w:t>      Β.  Ειδική Κατοικία</w:t>
      </w: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 xml:space="preserve">Κάθε άνθρωπος έχει μόνο μια </w:t>
      </w:r>
      <w:proofErr w:type="spellStart"/>
      <w:r>
        <w:rPr>
          <w:rFonts w:ascii="Bookman Old Style" w:eastAsia="Times New Roman" w:hAnsi="Bookman Old Style" w:cs="Arial"/>
          <w:sz w:val="24"/>
          <w:szCs w:val="24"/>
        </w:rPr>
        <w:t>κατοικία.Λόγω</w:t>
      </w:r>
      <w:proofErr w:type="spellEnd"/>
      <w:r>
        <w:rPr>
          <w:rFonts w:ascii="Bookman Old Style" w:eastAsia="Times New Roman" w:hAnsi="Bookman Old Style" w:cs="Arial"/>
          <w:sz w:val="24"/>
          <w:szCs w:val="24"/>
        </w:rPr>
        <w:t xml:space="preserve"> της άσκησης επαγγέλματος του λογίζεται ως ειδική Κατοικία του προσώπου ο τόπος που ασκεί το επάγγελμα του (Άρθρο 51.3ΑΚ)</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Cs/>
          <w:sz w:val="24"/>
          <w:szCs w:val="24"/>
        </w:rPr>
        <w:t>      Γ. Διαφορά κατοικίας από διαμονή</w:t>
      </w: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Η κατοικία διαφέρει από την διαμονή γιατί διαμονή είναι ο τόπος όπου το άτομο βρίσκεται προσωρινά χωρίς την πρόθεση της μόνιμης εγκατάστασης σε αυτόν.</w:t>
      </w:r>
    </w:p>
    <w:p w:rsidR="009C6015" w:rsidRDefault="009C6015" w:rsidP="009C6015">
      <w:pPr>
        <w:shd w:val="clear" w:color="auto" w:fill="FFFFFF"/>
        <w:spacing w:after="0" w:line="240" w:lineRule="auto"/>
        <w:textAlignment w:val="baseline"/>
        <w:rPr>
          <w:rFonts w:ascii="Bookman Old Style" w:eastAsia="Times New Roman" w:hAnsi="Bookman Old Style" w:cs="Arial"/>
          <w:b/>
          <w:bCs/>
          <w:sz w:val="24"/>
          <w:szCs w:val="24"/>
        </w:rPr>
      </w:pP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7.    Υγεία</w:t>
      </w: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Η σωματική αναπηρία όπως και η ψυχική ή διανοητική διαταραχή  είναι δυνατόν να επιδράσουν στην ικανότητα του προσώπου για δικαιοπραξία ή για αδικοπραξία</w:t>
      </w:r>
    </w:p>
    <w:p w:rsidR="009C6015" w:rsidRDefault="009C6015" w:rsidP="009C6015">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8.    Θρησκεία</w:t>
      </w:r>
    </w:p>
    <w:p w:rsidR="009C6015" w:rsidRDefault="009C6015" w:rsidP="009C6015">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Ελευθέρια θρησκευτικής συνείδησης και στη Ελευθέρια λατρείας πριν τροποποιηθεί ΑΚ επηρέαζαν αρκετά θέματα οικογενειακού δικαίου. Σήμερα η επίδραση είναι πολύ περιορισμένη και παντρεύονται με πολιτικό γάμο ή και με γάμο της θρησκείας τους Άρθρο  1471 ΑΚ</w:t>
      </w:r>
    </w:p>
    <w:sectPr w:rsidR="009C6015" w:rsidSect="005D3CF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C6015"/>
    <w:rsid w:val="003B0521"/>
    <w:rsid w:val="00581447"/>
    <w:rsid w:val="005D3CF9"/>
    <w:rsid w:val="006148D2"/>
    <w:rsid w:val="00792278"/>
    <w:rsid w:val="0085561F"/>
    <w:rsid w:val="009C6015"/>
    <w:rsid w:val="009D7914"/>
    <w:rsid w:val="00A02EA1"/>
    <w:rsid w:val="00DF150D"/>
    <w:rsid w:val="00E43B2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310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1121</Words>
  <Characters>6054</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2023-11-27T12:16:00Z</dcterms:created>
  <dcterms:modified xsi:type="dcterms:W3CDTF">2024-11-03T06:59:00Z</dcterms:modified>
</cp:coreProperties>
</file>