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A55" w:rsidRDefault="00057499" w:rsidP="00057499">
      <w:pPr>
        <w:shd w:val="clear" w:color="auto" w:fill="FFFFFF"/>
        <w:spacing w:before="72" w:after="0" w:line="240" w:lineRule="auto"/>
        <w:ind w:left="360"/>
        <w:jc w:val="center"/>
        <w:outlineLvl w:val="2"/>
        <w:rPr>
          <w:rFonts w:ascii="Bookman Old Style" w:eastAsia="Times New Roman" w:hAnsi="Bookman Old Style" w:cs="Arial"/>
          <w:b/>
          <w:bCs/>
          <w:sz w:val="24"/>
          <w:szCs w:val="24"/>
        </w:rPr>
      </w:pPr>
      <w:r>
        <w:rPr>
          <w:rFonts w:ascii="Bookman Old Style" w:eastAsia="Times New Roman" w:hAnsi="Bookman Old Style" w:cs="Arial"/>
          <w:b/>
          <w:bCs/>
          <w:sz w:val="24"/>
          <w:szCs w:val="24"/>
        </w:rPr>
        <w:t>ΣΗΜΕΙΩΣΕΙΣ 3</w:t>
      </w:r>
    </w:p>
    <w:p w:rsidR="00057499" w:rsidRDefault="00057499" w:rsidP="00742A55">
      <w:pPr>
        <w:shd w:val="clear" w:color="auto" w:fill="FFFFFF"/>
        <w:spacing w:before="72" w:after="0" w:line="240" w:lineRule="auto"/>
        <w:ind w:left="360"/>
        <w:outlineLvl w:val="2"/>
        <w:rPr>
          <w:rFonts w:ascii="Bookman Old Style" w:eastAsia="Times New Roman" w:hAnsi="Bookman Old Style" w:cs="Arial"/>
          <w:b/>
          <w:bCs/>
          <w:sz w:val="24"/>
          <w:szCs w:val="24"/>
        </w:rPr>
      </w:pPr>
    </w:p>
    <w:p w:rsidR="00CE3C2C" w:rsidRPr="00CE3C2C" w:rsidRDefault="00CE3C2C" w:rsidP="00CE3C2C">
      <w:pPr>
        <w:shd w:val="clear" w:color="auto" w:fill="FFFFFF"/>
        <w:spacing w:before="120" w:after="120" w:line="240" w:lineRule="auto"/>
        <w:rPr>
          <w:rFonts w:ascii="Bookman Old Style" w:eastAsia="Times New Roman" w:hAnsi="Bookman Old Style" w:cs="Arial"/>
          <w:b/>
          <w:sz w:val="24"/>
          <w:szCs w:val="24"/>
        </w:rPr>
      </w:pPr>
      <w:r w:rsidRPr="00CE3C2C">
        <w:rPr>
          <w:rFonts w:ascii="Bookman Old Style" w:eastAsia="Times New Roman" w:hAnsi="Bookman Old Style" w:cs="Arial"/>
          <w:b/>
          <w:sz w:val="24"/>
          <w:szCs w:val="24"/>
        </w:rPr>
        <w:t>ΣΥΝΤΑΓΜΑ</w:t>
      </w:r>
    </w:p>
    <w:p w:rsidR="00742A55" w:rsidRDefault="00742A55" w:rsidP="00742A55">
      <w:pPr>
        <w:pStyle w:val="a3"/>
        <w:numPr>
          <w:ilvl w:val="0"/>
          <w:numId w:val="1"/>
        </w:numPr>
        <w:shd w:val="clear" w:color="auto" w:fill="FFFFFF"/>
        <w:spacing w:before="120" w:after="120" w:line="240" w:lineRule="auto"/>
        <w:rPr>
          <w:rFonts w:ascii="Bookman Old Style" w:eastAsia="Times New Roman" w:hAnsi="Bookman Old Style" w:cs="Arial"/>
          <w:sz w:val="24"/>
          <w:szCs w:val="24"/>
        </w:rPr>
      </w:pPr>
      <w:r>
        <w:rPr>
          <w:rFonts w:ascii="Bookman Old Style" w:eastAsia="Times New Roman" w:hAnsi="Bookman Old Style" w:cs="Arial"/>
          <w:sz w:val="24"/>
          <w:szCs w:val="24"/>
        </w:rPr>
        <w:t>Υπό την ουσιαστική έννοια του πολιτικού όρου </w:t>
      </w:r>
      <w:r>
        <w:rPr>
          <w:rFonts w:ascii="Bookman Old Style" w:eastAsia="Times New Roman" w:hAnsi="Bookman Old Style" w:cs="Arial"/>
          <w:b/>
          <w:bCs/>
          <w:sz w:val="24"/>
          <w:szCs w:val="24"/>
        </w:rPr>
        <w:t>Σύνταγμα</w:t>
      </w:r>
      <w:r>
        <w:rPr>
          <w:rFonts w:ascii="Bookman Old Style" w:eastAsia="Times New Roman" w:hAnsi="Bookman Old Style" w:cs="Arial"/>
          <w:sz w:val="24"/>
          <w:szCs w:val="24"/>
        </w:rPr>
        <w:t> νοείται το σύνολο των νομικών εκείνων κανόνων που καθορίζουν τη μορφή του Κράτους (Πολίτευμα), την οργάνωσή των κρατικών υπηρεσιών δηλαδή της κρατικής εξουσίας καθώς και τα όρια αυτής έναντι των εντός της επικράτειας προσώπων.</w:t>
      </w:r>
    </w:p>
    <w:p w:rsidR="00742A55" w:rsidRDefault="00742A55" w:rsidP="00742A55">
      <w:pPr>
        <w:pStyle w:val="a3"/>
        <w:numPr>
          <w:ilvl w:val="0"/>
          <w:numId w:val="1"/>
        </w:numPr>
        <w:shd w:val="clear" w:color="auto" w:fill="FFFFFF"/>
        <w:spacing w:before="120" w:after="120" w:line="240" w:lineRule="auto"/>
        <w:rPr>
          <w:rFonts w:ascii="Bookman Old Style" w:eastAsia="Times New Roman" w:hAnsi="Bookman Old Style" w:cs="Arial"/>
          <w:sz w:val="24"/>
          <w:szCs w:val="24"/>
        </w:rPr>
      </w:pPr>
      <w:r>
        <w:rPr>
          <w:rFonts w:ascii="Bookman Old Style" w:eastAsia="Times New Roman" w:hAnsi="Bookman Old Style" w:cs="Arial"/>
          <w:sz w:val="24"/>
          <w:szCs w:val="24"/>
        </w:rPr>
        <w:t>Υπό τη τυπική όμως έννοια του πολιτικού αυτού όρου ως Σύνταγμα νοείται ο γραπτός διατυπωμένος θεμελιώδης κανόνας (νόμος) του Κράτους που σε σύγκριση με τους κοινούς νόμους έχει υπερισχυμένη τυπική δύναμη. Ο θεμελιώδης αυτός νόμος τίθεται και μεταβάλλεται κατά πολύ δυσχερέστερη διαδικασία από τη προβλεπόμενη για τους κοινούς νόμους.</w:t>
      </w:r>
    </w:p>
    <w:p w:rsidR="00742A55" w:rsidRDefault="00742A55" w:rsidP="00742A55">
      <w:pPr>
        <w:shd w:val="clear" w:color="auto" w:fill="FFFFFF"/>
        <w:spacing w:before="120" w:after="120" w:line="240" w:lineRule="auto"/>
        <w:rPr>
          <w:rFonts w:ascii="Bookman Old Style" w:eastAsia="Times New Roman" w:hAnsi="Bookman Old Style" w:cs="Arial"/>
          <w:sz w:val="24"/>
          <w:szCs w:val="24"/>
        </w:rPr>
      </w:pPr>
    </w:p>
    <w:p w:rsidR="00742A55" w:rsidRDefault="00742A55" w:rsidP="00742A55">
      <w:pPr>
        <w:shd w:val="clear" w:color="auto" w:fill="FFFFFF"/>
        <w:spacing w:before="72" w:after="0" w:line="240" w:lineRule="auto"/>
        <w:outlineLvl w:val="2"/>
        <w:rPr>
          <w:rFonts w:ascii="Bookman Old Style" w:eastAsia="Times New Roman" w:hAnsi="Bookman Old Style" w:cs="Arial"/>
          <w:b/>
          <w:i/>
          <w:iCs/>
          <w:sz w:val="24"/>
          <w:szCs w:val="24"/>
        </w:rPr>
      </w:pPr>
      <w:r>
        <w:rPr>
          <w:rFonts w:ascii="Bookman Old Style" w:eastAsia="Times New Roman" w:hAnsi="Bookman Old Style" w:cs="Arial"/>
          <w:b/>
          <w:iCs/>
          <w:sz w:val="24"/>
          <w:szCs w:val="24"/>
        </w:rPr>
        <w:t xml:space="preserve">ΕΘΙΜΟ </w:t>
      </w:r>
      <w:r>
        <w:rPr>
          <w:rFonts w:ascii="Bookman Old Style" w:eastAsia="Times New Roman" w:hAnsi="Bookman Old Style" w:cs="Arial"/>
          <w:b/>
          <w:i/>
          <w:iCs/>
          <w:sz w:val="24"/>
          <w:szCs w:val="24"/>
        </w:rPr>
        <w:t xml:space="preserve"> </w:t>
      </w:r>
    </w:p>
    <w:p w:rsidR="00742A55" w:rsidRDefault="00742A55" w:rsidP="00742A55">
      <w:pPr>
        <w:shd w:val="clear" w:color="auto" w:fill="FFFFFF"/>
        <w:spacing w:before="120" w:after="120" w:line="240" w:lineRule="auto"/>
        <w:rPr>
          <w:rFonts w:ascii="Bookman Old Style" w:eastAsia="Times New Roman" w:hAnsi="Bookman Old Style" w:cs="Arial"/>
          <w:sz w:val="24"/>
          <w:szCs w:val="24"/>
        </w:rPr>
      </w:pPr>
      <w:r>
        <w:rPr>
          <w:rFonts w:ascii="Bookman Old Style" w:eastAsia="Times New Roman" w:hAnsi="Bookman Old Style" w:cs="Arial"/>
          <w:sz w:val="24"/>
          <w:szCs w:val="24"/>
        </w:rPr>
        <w:t xml:space="preserve">Το Έθιμο αποτελεί </w:t>
      </w:r>
      <w:r>
        <w:rPr>
          <w:rFonts w:ascii="Bookman Old Style" w:eastAsia="Times New Roman" w:hAnsi="Bookman Old Style" w:cs="Arial"/>
          <w:b/>
          <w:sz w:val="24"/>
          <w:szCs w:val="24"/>
        </w:rPr>
        <w:t>άγραφο</w:t>
      </w:r>
      <w:r>
        <w:rPr>
          <w:rFonts w:ascii="Bookman Old Style" w:eastAsia="Times New Roman" w:hAnsi="Bookman Old Style" w:cs="Arial"/>
          <w:sz w:val="24"/>
          <w:szCs w:val="24"/>
        </w:rPr>
        <w:t xml:space="preserve"> κανόνα Δικαίου που δημιουργείται με τη </w:t>
      </w:r>
      <w:r>
        <w:rPr>
          <w:rFonts w:ascii="Bookman Old Style" w:eastAsia="Times New Roman" w:hAnsi="Bookman Old Style" w:cs="Arial"/>
          <w:b/>
          <w:sz w:val="24"/>
          <w:szCs w:val="24"/>
        </w:rPr>
        <w:t>μακρά, ομοιόμορφη και αδιάκοπη τήρηση</w:t>
      </w:r>
      <w:r>
        <w:rPr>
          <w:rFonts w:ascii="Bookman Old Style" w:eastAsia="Times New Roman" w:hAnsi="Bookman Old Style" w:cs="Arial"/>
          <w:sz w:val="24"/>
          <w:szCs w:val="24"/>
        </w:rPr>
        <w:t xml:space="preserve"> ορισμένης συμπεριφοράς από τα μέλη μιας κοινωνίας και με τη </w:t>
      </w:r>
      <w:r>
        <w:rPr>
          <w:rFonts w:ascii="Bookman Old Style" w:eastAsia="Times New Roman" w:hAnsi="Bookman Old Style" w:cs="Arial"/>
          <w:b/>
          <w:sz w:val="24"/>
          <w:szCs w:val="24"/>
        </w:rPr>
        <w:t>πεποίθηση</w:t>
      </w:r>
      <w:r>
        <w:rPr>
          <w:rFonts w:ascii="Bookman Old Style" w:eastAsia="Times New Roman" w:hAnsi="Bookman Old Style" w:cs="Arial"/>
          <w:sz w:val="24"/>
          <w:szCs w:val="24"/>
        </w:rPr>
        <w:t xml:space="preserve"> ότι αυτό αποτελεί δίκαιο. Είναι ο λεγόμενος «άγραφος νόμος».</w:t>
      </w:r>
      <w:r w:rsidR="000E2119">
        <w:rPr>
          <w:rFonts w:ascii="Bookman Old Style" w:eastAsia="Times New Roman" w:hAnsi="Bookman Old Style" w:cs="Arial"/>
          <w:sz w:val="24"/>
          <w:szCs w:val="24"/>
        </w:rPr>
        <w:t xml:space="preserve"> Οι εθιμικοί κανόνες προϋπάρχουν χωρίς την έγκριση της Πολιτείας, χωρίς το στοιχείο του εξαναγκασμού (που είναι χαρακτηριστικό κρατικής εξουσίας)</w:t>
      </w:r>
    </w:p>
    <w:p w:rsidR="00057499" w:rsidRDefault="00742A55" w:rsidP="00057499">
      <w:pPr>
        <w:shd w:val="clear" w:color="auto" w:fill="FFFFFF"/>
        <w:spacing w:before="120" w:after="120" w:line="240" w:lineRule="auto"/>
        <w:rPr>
          <w:rFonts w:ascii="Bookman Old Style" w:eastAsia="Times New Roman" w:hAnsi="Bookman Old Style" w:cs="Arial"/>
          <w:sz w:val="24"/>
          <w:szCs w:val="24"/>
        </w:rPr>
      </w:pPr>
      <w:r w:rsidRPr="00057499">
        <w:rPr>
          <w:rFonts w:ascii="Bookman Old Style" w:eastAsia="Times New Roman" w:hAnsi="Bookman Old Style" w:cs="Arial"/>
          <w:sz w:val="24"/>
          <w:szCs w:val="24"/>
        </w:rPr>
        <w:t xml:space="preserve">Κατά τα παραπάνω, στοιχεία του εθίμου είναι: </w:t>
      </w:r>
    </w:p>
    <w:p w:rsidR="00057499" w:rsidRDefault="00742A55" w:rsidP="00057499">
      <w:pPr>
        <w:pStyle w:val="a3"/>
        <w:numPr>
          <w:ilvl w:val="0"/>
          <w:numId w:val="4"/>
        </w:numPr>
        <w:shd w:val="clear" w:color="auto" w:fill="FFFFFF"/>
        <w:spacing w:before="120" w:after="120" w:line="240" w:lineRule="auto"/>
        <w:rPr>
          <w:rFonts w:ascii="Bookman Old Style" w:eastAsia="Times New Roman" w:hAnsi="Bookman Old Style" w:cs="Arial"/>
          <w:sz w:val="24"/>
          <w:szCs w:val="24"/>
        </w:rPr>
      </w:pPr>
      <w:r w:rsidRPr="00057499">
        <w:rPr>
          <w:rFonts w:ascii="Bookman Old Style" w:eastAsia="Times New Roman" w:hAnsi="Bookman Old Style" w:cs="Arial"/>
          <w:sz w:val="24"/>
          <w:szCs w:val="24"/>
        </w:rPr>
        <w:t xml:space="preserve">η μακρά και ομοιόμορφη «άσκηση» (στοιχείο εξωτερικό) και </w:t>
      </w:r>
    </w:p>
    <w:p w:rsidR="00742A55" w:rsidRPr="00057499" w:rsidRDefault="00742A55" w:rsidP="00057499">
      <w:pPr>
        <w:pStyle w:val="a3"/>
        <w:numPr>
          <w:ilvl w:val="0"/>
          <w:numId w:val="4"/>
        </w:numPr>
        <w:shd w:val="clear" w:color="auto" w:fill="FFFFFF"/>
        <w:spacing w:before="120" w:after="120" w:line="240" w:lineRule="auto"/>
        <w:rPr>
          <w:rFonts w:ascii="Bookman Old Style" w:eastAsia="Times New Roman" w:hAnsi="Bookman Old Style" w:cs="Arial"/>
          <w:sz w:val="24"/>
          <w:szCs w:val="24"/>
        </w:rPr>
      </w:pPr>
      <w:r w:rsidRPr="00057499">
        <w:rPr>
          <w:rFonts w:ascii="Bookman Old Style" w:eastAsia="Times New Roman" w:hAnsi="Bookman Old Style" w:cs="Arial"/>
          <w:sz w:val="24"/>
          <w:szCs w:val="24"/>
        </w:rPr>
        <w:t>η «κοινή πεποίθηση» ότι αποτελεί πατροπαράδοτο κανόνα δικαίου (στοιχείο εσωτερικό).</w:t>
      </w:r>
    </w:p>
    <w:p w:rsidR="00742A55" w:rsidRDefault="00742A55" w:rsidP="00742A55">
      <w:pPr>
        <w:shd w:val="clear" w:color="auto" w:fill="FFFFFF"/>
        <w:spacing w:before="120" w:after="120" w:line="240" w:lineRule="auto"/>
        <w:rPr>
          <w:rFonts w:ascii="Bookman Old Style" w:eastAsia="Times New Roman" w:hAnsi="Bookman Old Style" w:cs="Arial"/>
          <w:sz w:val="24"/>
          <w:szCs w:val="24"/>
        </w:rPr>
      </w:pPr>
      <w:r>
        <w:rPr>
          <w:rFonts w:ascii="Bookman Old Style" w:eastAsia="Times New Roman" w:hAnsi="Bookman Old Style" w:cs="Arial"/>
          <w:sz w:val="24"/>
          <w:szCs w:val="24"/>
        </w:rPr>
        <w:t>Τα έθιμα διακρίνονται σε:</w:t>
      </w:r>
    </w:p>
    <w:p w:rsidR="00742A55" w:rsidRDefault="00742A55" w:rsidP="00742A55">
      <w:pPr>
        <w:numPr>
          <w:ilvl w:val="0"/>
          <w:numId w:val="2"/>
        </w:numPr>
        <w:shd w:val="clear" w:color="auto" w:fill="FFFFFF"/>
        <w:spacing w:before="100" w:beforeAutospacing="1" w:after="24" w:line="240" w:lineRule="auto"/>
        <w:ind w:left="0" w:firstLine="0"/>
        <w:rPr>
          <w:rFonts w:ascii="Bookman Old Style" w:eastAsia="Times New Roman" w:hAnsi="Bookman Old Style" w:cs="Arial"/>
          <w:sz w:val="24"/>
          <w:szCs w:val="24"/>
        </w:rPr>
      </w:pPr>
      <w:r>
        <w:rPr>
          <w:rFonts w:ascii="Bookman Old Style" w:eastAsia="Times New Roman" w:hAnsi="Bookman Old Style" w:cs="Arial"/>
          <w:i/>
          <w:iCs/>
          <w:sz w:val="24"/>
          <w:szCs w:val="24"/>
        </w:rPr>
        <w:t>Καθολικά</w:t>
      </w:r>
      <w:r>
        <w:rPr>
          <w:rFonts w:ascii="Bookman Old Style" w:eastAsia="Times New Roman" w:hAnsi="Bookman Old Style" w:cs="Arial"/>
          <w:sz w:val="24"/>
          <w:szCs w:val="24"/>
        </w:rPr>
        <w:t> (που ισχύουν σε όλη τη χώρα) και σε </w:t>
      </w:r>
      <w:r>
        <w:rPr>
          <w:rFonts w:ascii="Bookman Old Style" w:eastAsia="Times New Roman" w:hAnsi="Bookman Old Style" w:cs="Arial"/>
          <w:i/>
          <w:iCs/>
          <w:sz w:val="24"/>
          <w:szCs w:val="24"/>
        </w:rPr>
        <w:t>Τοπικά</w:t>
      </w:r>
      <w:r>
        <w:rPr>
          <w:rFonts w:ascii="Bookman Old Style" w:eastAsia="Times New Roman" w:hAnsi="Bookman Old Style" w:cs="Arial"/>
          <w:sz w:val="24"/>
          <w:szCs w:val="24"/>
        </w:rPr>
        <w:t> (που ισχύουν σε μέρος της χώρας)</w:t>
      </w:r>
    </w:p>
    <w:p w:rsidR="00742A55" w:rsidRDefault="00742A55" w:rsidP="00742A55">
      <w:pPr>
        <w:numPr>
          <w:ilvl w:val="0"/>
          <w:numId w:val="2"/>
        </w:numPr>
        <w:shd w:val="clear" w:color="auto" w:fill="FFFFFF"/>
        <w:spacing w:before="100" w:beforeAutospacing="1" w:after="24" w:line="240" w:lineRule="auto"/>
        <w:ind w:left="0" w:firstLine="0"/>
        <w:rPr>
          <w:rFonts w:ascii="Bookman Old Style" w:eastAsia="Times New Roman" w:hAnsi="Bookman Old Style" w:cs="Arial"/>
          <w:sz w:val="24"/>
          <w:szCs w:val="24"/>
        </w:rPr>
      </w:pPr>
      <w:r>
        <w:rPr>
          <w:rFonts w:ascii="Bookman Old Style" w:eastAsia="Times New Roman" w:hAnsi="Bookman Old Style" w:cs="Arial"/>
          <w:i/>
          <w:iCs/>
          <w:sz w:val="24"/>
          <w:szCs w:val="24"/>
        </w:rPr>
        <w:t>Γενικά</w:t>
      </w:r>
      <w:r>
        <w:rPr>
          <w:rFonts w:ascii="Bookman Old Style" w:eastAsia="Times New Roman" w:hAnsi="Bookman Old Style" w:cs="Arial"/>
          <w:sz w:val="24"/>
          <w:szCs w:val="24"/>
        </w:rPr>
        <w:t> (που εφαρμόζονται επί πάντων των συναλλασσομένων) και σε </w:t>
      </w:r>
      <w:r>
        <w:rPr>
          <w:rFonts w:ascii="Bookman Old Style" w:eastAsia="Times New Roman" w:hAnsi="Bookman Old Style" w:cs="Arial"/>
          <w:i/>
          <w:iCs/>
          <w:sz w:val="24"/>
          <w:szCs w:val="24"/>
        </w:rPr>
        <w:t>Ειδικά</w:t>
      </w:r>
      <w:r>
        <w:rPr>
          <w:rFonts w:ascii="Bookman Old Style" w:eastAsia="Times New Roman" w:hAnsi="Bookman Old Style" w:cs="Arial"/>
          <w:sz w:val="24"/>
          <w:szCs w:val="24"/>
        </w:rPr>
        <w:t> (που εφαρμόζονται επί ορισμένης κατηγορίας αυτών) και</w:t>
      </w:r>
    </w:p>
    <w:p w:rsidR="00742A55" w:rsidRDefault="00742A55" w:rsidP="00742A55">
      <w:pPr>
        <w:shd w:val="clear" w:color="auto" w:fill="FFFFFF"/>
        <w:spacing w:before="120" w:after="120" w:line="240" w:lineRule="auto"/>
        <w:rPr>
          <w:rFonts w:ascii="Bookman Old Style" w:eastAsia="Times New Roman" w:hAnsi="Bookman Old Style" w:cs="Arial"/>
          <w:sz w:val="24"/>
          <w:szCs w:val="24"/>
        </w:rPr>
      </w:pPr>
      <w:r>
        <w:rPr>
          <w:rFonts w:ascii="Bookman Old Style" w:eastAsia="Times New Roman" w:hAnsi="Bookman Old Style" w:cs="Arial"/>
          <w:sz w:val="24"/>
          <w:szCs w:val="24"/>
        </w:rPr>
        <w:t xml:space="preserve">Η απόδειξη του εθίμου γίνεται δια παντός μέσου π.χ. με μάρτυρες. </w:t>
      </w:r>
    </w:p>
    <w:p w:rsidR="00742A55" w:rsidRDefault="00742A55" w:rsidP="00742A55">
      <w:pPr>
        <w:shd w:val="clear" w:color="auto" w:fill="FFFFFF"/>
        <w:spacing w:before="72" w:after="0" w:line="240" w:lineRule="auto"/>
        <w:outlineLvl w:val="2"/>
        <w:rPr>
          <w:rFonts w:ascii="Bookman Old Style" w:eastAsia="Times New Roman" w:hAnsi="Bookman Old Style" w:cs="Arial"/>
          <w:b/>
          <w:bCs/>
          <w:sz w:val="24"/>
          <w:szCs w:val="24"/>
        </w:rPr>
      </w:pPr>
    </w:p>
    <w:p w:rsidR="00057499" w:rsidRDefault="00057499" w:rsidP="00742A55">
      <w:pPr>
        <w:rPr>
          <w:rFonts w:ascii="Bookman Old Style" w:hAnsi="Bookman Old Style"/>
          <w:b/>
          <w:sz w:val="24"/>
          <w:szCs w:val="24"/>
        </w:rPr>
      </w:pPr>
      <w:r>
        <w:rPr>
          <w:rFonts w:ascii="Bookman Old Style" w:hAnsi="Bookman Old Style"/>
          <w:b/>
          <w:sz w:val="24"/>
          <w:szCs w:val="24"/>
        </w:rPr>
        <w:t>ΚΑΝΟΝΕΣ ΤΟΥ ΔΙΕΘΝΟΥΣ ΔΙΚΑΙΟΥ</w:t>
      </w:r>
    </w:p>
    <w:p w:rsidR="00057499" w:rsidRPr="00057499" w:rsidRDefault="00057499" w:rsidP="00742A55">
      <w:pPr>
        <w:rPr>
          <w:rFonts w:ascii="Bookman Old Style" w:hAnsi="Bookman Old Style"/>
          <w:sz w:val="24"/>
          <w:szCs w:val="24"/>
        </w:rPr>
      </w:pPr>
      <w:r w:rsidRPr="00057499">
        <w:rPr>
          <w:rFonts w:ascii="Bookman Old Style" w:hAnsi="Bookman Old Style"/>
          <w:sz w:val="24"/>
          <w:szCs w:val="24"/>
        </w:rPr>
        <w:t>Οι κανόνες αυτοί απορρέουν από τη θεωρία του Δημοσίου Διεθνούς Δικαίου και υπερισχύουν έναντι αντίθετων νομοθετικών διατάξεων</w:t>
      </w:r>
    </w:p>
    <w:p w:rsidR="00742A55" w:rsidRDefault="00CE3C2C" w:rsidP="00742A55">
      <w:pPr>
        <w:rPr>
          <w:rFonts w:ascii="Bookman Old Style" w:hAnsi="Bookman Old Style"/>
          <w:sz w:val="24"/>
          <w:szCs w:val="24"/>
        </w:rPr>
      </w:pPr>
      <w:r>
        <w:rPr>
          <w:rFonts w:ascii="Bookman Old Style" w:hAnsi="Bookman Old Style"/>
          <w:b/>
          <w:sz w:val="24"/>
          <w:szCs w:val="24"/>
        </w:rPr>
        <w:t>Ν</w:t>
      </w:r>
      <w:r w:rsidR="00057499">
        <w:rPr>
          <w:rFonts w:ascii="Bookman Old Style" w:hAnsi="Bookman Old Style"/>
          <w:b/>
          <w:sz w:val="24"/>
          <w:szCs w:val="24"/>
        </w:rPr>
        <w:t>ΟΜΟΛΟΓΙΑ</w:t>
      </w:r>
      <w:r w:rsidR="00742A55">
        <w:rPr>
          <w:rFonts w:ascii="Bookman Old Style" w:hAnsi="Bookman Old Style"/>
          <w:sz w:val="24"/>
          <w:szCs w:val="24"/>
          <w:u w:val="single"/>
        </w:rPr>
        <w:t xml:space="preserve"> </w:t>
      </w:r>
      <w:r w:rsidR="00742A55">
        <w:rPr>
          <w:rFonts w:ascii="Bookman Old Style" w:hAnsi="Bookman Old Style"/>
          <w:sz w:val="24"/>
          <w:szCs w:val="24"/>
        </w:rPr>
        <w:t>(οι λύσεις που δίνουν τα δικαστήρια με τις αποφάσεις τους σε διάφορα νομικά προβλήματα)</w:t>
      </w:r>
    </w:p>
    <w:p w:rsidR="00742A55" w:rsidRDefault="00742A55" w:rsidP="00742A55">
      <w:pPr>
        <w:rPr>
          <w:rFonts w:ascii="Bookman Old Style" w:hAnsi="Bookman Old Style"/>
          <w:sz w:val="24"/>
          <w:szCs w:val="24"/>
        </w:rPr>
      </w:pPr>
      <w:r>
        <w:rPr>
          <w:rFonts w:ascii="Bookman Old Style" w:hAnsi="Bookman Old Style"/>
          <w:sz w:val="24"/>
          <w:szCs w:val="24"/>
        </w:rPr>
        <w:t>Πάγια νομολογία δηλ. σειρά δικαστικών αποφάσεων που δίνουν την ίδια λύση σε ορισμένο νομικό θέμα.</w:t>
      </w:r>
    </w:p>
    <w:p w:rsidR="00742A55" w:rsidRDefault="00742A55" w:rsidP="00742A55">
      <w:pPr>
        <w:rPr>
          <w:rFonts w:ascii="Bookman Old Style" w:hAnsi="Bookman Old Style"/>
          <w:sz w:val="24"/>
          <w:szCs w:val="24"/>
        </w:rPr>
      </w:pPr>
      <w:r>
        <w:rPr>
          <w:rFonts w:ascii="Bookman Old Style" w:hAnsi="Bookman Old Style"/>
          <w:sz w:val="24"/>
          <w:szCs w:val="24"/>
        </w:rPr>
        <w:lastRenderedPageBreak/>
        <w:t>Στο δίκαιό μας ή νομολογία ΔΕΝ αποτελεί πηγή δικαίου και δεν είναι δεσμευτική για τον Δικαστή. Στον κανόνα αυτόν πρώτον υπάρχουν εξαιρέσεις και δεύτερον στην πράξη, σε εξαιρετικές περιπτώσεις τα δικαστήρια δεν ακολουθούν τη νομολογία.</w:t>
      </w:r>
    </w:p>
    <w:p w:rsidR="00057499" w:rsidRDefault="00057499" w:rsidP="00742A55">
      <w:pPr>
        <w:rPr>
          <w:rFonts w:ascii="Bookman Old Style" w:hAnsi="Bookman Old Style"/>
          <w:b/>
          <w:sz w:val="24"/>
          <w:szCs w:val="24"/>
        </w:rPr>
      </w:pPr>
    </w:p>
    <w:p w:rsidR="00057499" w:rsidRDefault="00057499" w:rsidP="00742A55">
      <w:pPr>
        <w:rPr>
          <w:rFonts w:ascii="Bookman Old Style" w:hAnsi="Bookman Old Style"/>
          <w:b/>
          <w:sz w:val="24"/>
          <w:szCs w:val="24"/>
        </w:rPr>
      </w:pPr>
      <w:r>
        <w:rPr>
          <w:rFonts w:ascii="Bookman Old Style" w:hAnsi="Bookman Old Style"/>
          <w:b/>
          <w:sz w:val="24"/>
          <w:szCs w:val="24"/>
        </w:rPr>
        <w:t>Η ΚΑΛΗ ΠΙΣΤΗ, ΤΑ ΧΡΗΣΤΑ ΗΘΗ ΚΑΙ ΤΑ ΣΥΝΑΛΛΑΚΤΙΚΑ ΗΘΗ</w:t>
      </w:r>
    </w:p>
    <w:p w:rsidR="00742A55" w:rsidRDefault="00742A55" w:rsidP="00742A55">
      <w:pPr>
        <w:rPr>
          <w:rFonts w:ascii="Bookman Old Style" w:hAnsi="Bookman Old Style"/>
          <w:b/>
          <w:sz w:val="24"/>
          <w:szCs w:val="24"/>
        </w:rPr>
      </w:pPr>
      <w:r>
        <w:rPr>
          <w:rFonts w:ascii="Bookman Old Style" w:hAnsi="Bookman Old Style"/>
          <w:b/>
          <w:sz w:val="24"/>
          <w:szCs w:val="24"/>
        </w:rPr>
        <w:t>Α. Καλή πίστη</w:t>
      </w:r>
    </w:p>
    <w:p w:rsidR="00742A55" w:rsidRDefault="00742A55" w:rsidP="00742A55">
      <w:pPr>
        <w:rPr>
          <w:rFonts w:ascii="Bookman Old Style" w:hAnsi="Bookman Old Style"/>
          <w:sz w:val="24"/>
          <w:szCs w:val="24"/>
        </w:rPr>
      </w:pPr>
      <w:r>
        <w:rPr>
          <w:rFonts w:ascii="Bookman Old Style" w:hAnsi="Bookman Old Style"/>
          <w:sz w:val="24"/>
          <w:szCs w:val="24"/>
        </w:rPr>
        <w:t xml:space="preserve">Είναι η εντιμότητα και η ευθύτητα που απαιτούνται στις συναλλαγές. Πρόκειται για την </w:t>
      </w:r>
      <w:r>
        <w:rPr>
          <w:rFonts w:ascii="Bookman Old Style" w:hAnsi="Bookman Old Style"/>
          <w:sz w:val="24"/>
          <w:szCs w:val="24"/>
          <w:u w:val="single"/>
        </w:rPr>
        <w:t>«αντικειμενική» καλή πίστη</w:t>
      </w:r>
      <w:r>
        <w:rPr>
          <w:rFonts w:ascii="Bookman Old Style" w:hAnsi="Bookman Old Style"/>
          <w:sz w:val="24"/>
          <w:szCs w:val="24"/>
        </w:rPr>
        <w:t xml:space="preserve"> (που πρέπει να διακρίνεται από την υποκειμενική δηλ. την πεποίθηση του κοινωνού του δικαίου ότι η συμπεριφορά του είναι νόμιμη, ότι δεν αδικεί άλλον κλπ)</w:t>
      </w:r>
    </w:p>
    <w:p w:rsidR="00742A55" w:rsidRDefault="00742A55" w:rsidP="00742A55">
      <w:pPr>
        <w:rPr>
          <w:rFonts w:ascii="Bookman Old Style" w:hAnsi="Bookman Old Style"/>
          <w:sz w:val="24"/>
          <w:szCs w:val="24"/>
        </w:rPr>
      </w:pPr>
      <w:r>
        <w:rPr>
          <w:rFonts w:ascii="Bookman Old Style" w:hAnsi="Bookman Old Style"/>
          <w:sz w:val="24"/>
          <w:szCs w:val="24"/>
        </w:rPr>
        <w:t>Σύμφωνα με αυτήν ο κοινωνός του δικαίου πρέπει να συμπεριφέρεται με εντιμότητα και ειλικρίνεια και να μην αδιαφορεί για τα έννομα αγαθά των άλλων που μπορεί να επηρεάζονται από τη συμπεριφορά του.</w:t>
      </w:r>
    </w:p>
    <w:p w:rsidR="00742A55" w:rsidRDefault="00742A55" w:rsidP="00057499">
      <w:pPr>
        <w:rPr>
          <w:rFonts w:ascii="Bookman Old Style" w:hAnsi="Bookman Old Style"/>
          <w:sz w:val="24"/>
          <w:szCs w:val="24"/>
        </w:rPr>
      </w:pPr>
      <w:r>
        <w:rPr>
          <w:rFonts w:ascii="Bookman Old Style" w:hAnsi="Bookman Old Style"/>
          <w:sz w:val="24"/>
          <w:szCs w:val="24"/>
          <w:u w:val="single"/>
        </w:rPr>
        <w:t xml:space="preserve">Η αντικειμενική καλή πίστη χρησιμεύει «ως κριτήριο ορθής συμπεριφοράς» </w:t>
      </w:r>
    </w:p>
    <w:p w:rsidR="00742A55" w:rsidRDefault="00742A55" w:rsidP="00742A55">
      <w:pPr>
        <w:rPr>
          <w:rFonts w:ascii="Bookman Old Style" w:hAnsi="Bookman Old Style"/>
          <w:b/>
          <w:sz w:val="24"/>
          <w:szCs w:val="24"/>
        </w:rPr>
      </w:pPr>
      <w:r>
        <w:rPr>
          <w:rFonts w:ascii="Bookman Old Style" w:hAnsi="Bookman Old Style"/>
          <w:b/>
          <w:sz w:val="24"/>
          <w:szCs w:val="24"/>
        </w:rPr>
        <w:t xml:space="preserve">Β. Χρηστά ήθη  </w:t>
      </w:r>
    </w:p>
    <w:p w:rsidR="00742A55" w:rsidRDefault="00742A55" w:rsidP="00742A55">
      <w:pPr>
        <w:rPr>
          <w:rFonts w:ascii="Bookman Old Style" w:hAnsi="Bookman Old Style"/>
          <w:sz w:val="24"/>
          <w:szCs w:val="24"/>
        </w:rPr>
      </w:pPr>
      <w:r>
        <w:rPr>
          <w:rFonts w:ascii="Bookman Old Style" w:hAnsi="Bookman Old Style"/>
          <w:sz w:val="24"/>
          <w:szCs w:val="24"/>
        </w:rPr>
        <w:t>Είναι οι κρατούσες αντιλήψεις του μέσου χρηστού και δίκαιου ανθρώπου ως προς το ποια συμπεριφορά είναι η πρέπουσα (η ανταποκρινόμενη στις επιταγές της κοινωνικής ηθικής).Είναι προφανές ότι τα χρηστά ήθη μεταβάλλονται, έστω και με αργό ρυθμό, με το χρόνο.</w:t>
      </w:r>
    </w:p>
    <w:p w:rsidR="00742A55" w:rsidRDefault="00742A55" w:rsidP="00742A55">
      <w:pPr>
        <w:rPr>
          <w:rFonts w:ascii="Bookman Old Style" w:hAnsi="Bookman Old Style"/>
          <w:b/>
          <w:sz w:val="24"/>
          <w:szCs w:val="24"/>
        </w:rPr>
      </w:pPr>
      <w:r>
        <w:rPr>
          <w:rFonts w:ascii="Bookman Old Style" w:hAnsi="Bookman Old Style"/>
          <w:b/>
          <w:sz w:val="24"/>
          <w:szCs w:val="24"/>
        </w:rPr>
        <w:t>Γ. Συναλλακτικά ήθη</w:t>
      </w:r>
    </w:p>
    <w:p w:rsidR="00742A55" w:rsidRDefault="00742A55" w:rsidP="00742A55">
      <w:pPr>
        <w:rPr>
          <w:rFonts w:ascii="Bookman Old Style" w:eastAsia="Times New Roman" w:hAnsi="Bookman Old Style" w:cs="Arial"/>
          <w:sz w:val="24"/>
          <w:szCs w:val="24"/>
        </w:rPr>
      </w:pPr>
      <w:r>
        <w:rPr>
          <w:rFonts w:ascii="Bookman Old Style" w:eastAsia="Times New Roman" w:hAnsi="Bookman Old Style" w:cs="Arial"/>
          <w:sz w:val="24"/>
          <w:szCs w:val="24"/>
        </w:rPr>
        <w:t>Συναλλακτικά ήθη είναι συνήθειες που κρατούν γενικά στις συναλλαγές ή σ’ ένα κύκλο συναλλαγών ή σ’ ένα κύκλο συναλλασσομένων. Στο δίκαιό μας υπάρχουν διατάξεις που παραπέμπουν στα συναλλακτικά ήθη και έτσι τα ανάγουν σε δευτερογενείς πηγές του δικαίου.</w:t>
      </w:r>
    </w:p>
    <w:p w:rsidR="00742A55" w:rsidRDefault="00742A55" w:rsidP="00742A55">
      <w:pPr>
        <w:rPr>
          <w:rFonts w:ascii="Bookman Old Style" w:eastAsia="Times New Roman" w:hAnsi="Bookman Old Style" w:cs="Arial"/>
          <w:sz w:val="24"/>
          <w:szCs w:val="24"/>
        </w:rPr>
      </w:pPr>
      <w:r>
        <w:rPr>
          <w:rFonts w:ascii="Bookman Old Style" w:eastAsia="Times New Roman" w:hAnsi="Bookman Old Style" w:cs="Arial"/>
          <w:sz w:val="24"/>
          <w:szCs w:val="24"/>
        </w:rPr>
        <w:t>Τα συναλλακτικά ήθη δεν λαμβάνονται υπόψη όταν δεν είναι χρηστά.</w:t>
      </w:r>
    </w:p>
    <w:p w:rsidR="00742A55" w:rsidRDefault="00742A55" w:rsidP="00742A55">
      <w:pPr>
        <w:rPr>
          <w:rFonts w:ascii="Bookman Old Style" w:eastAsia="Times New Roman" w:hAnsi="Bookman Old Style" w:cs="Arial"/>
          <w:b/>
        </w:rPr>
      </w:pPr>
    </w:p>
    <w:p w:rsidR="00742A55" w:rsidRDefault="00057499" w:rsidP="00742A55">
      <w:pPr>
        <w:rPr>
          <w:rFonts w:ascii="Bookman Old Style" w:eastAsia="Times New Roman" w:hAnsi="Bookman Old Style" w:cs="Arial"/>
          <w:b/>
        </w:rPr>
      </w:pPr>
      <w:r>
        <w:rPr>
          <w:rFonts w:ascii="Bookman Old Style" w:eastAsia="Times New Roman" w:hAnsi="Bookman Old Style" w:cs="Arial"/>
          <w:b/>
        </w:rPr>
        <w:t>ΕΡΜΗΝΕΙΑ ΤΩΝ ΚΑΝΟΝΩΝ ΔΙΚΑΙΟΥ</w:t>
      </w:r>
    </w:p>
    <w:p w:rsidR="00057499" w:rsidRDefault="00057499" w:rsidP="00742A55">
      <w:pPr>
        <w:rPr>
          <w:rFonts w:ascii="Bookman Old Style" w:eastAsia="Times New Roman" w:hAnsi="Bookman Old Style" w:cs="Arial"/>
        </w:rPr>
      </w:pPr>
      <w:r w:rsidRPr="00057499">
        <w:rPr>
          <w:rFonts w:ascii="Bookman Old Style" w:eastAsia="Times New Roman" w:hAnsi="Bookman Old Style" w:cs="Arial"/>
        </w:rPr>
        <w:t xml:space="preserve">Η </w:t>
      </w:r>
      <w:r>
        <w:rPr>
          <w:rFonts w:ascii="Bookman Old Style" w:eastAsia="Times New Roman" w:hAnsi="Bookman Old Style" w:cs="Arial"/>
        </w:rPr>
        <w:t>ερμηνεία των κανόνων δικαίου αφορά στην προσπάθεια εξακρίβωσης του νοήματός τους και ανακύπτει στην περίπτωση που αυτό (το νόημα) δεν είναι απολύτως κατανοητό.</w:t>
      </w:r>
    </w:p>
    <w:p w:rsidR="00057499" w:rsidRDefault="00057499" w:rsidP="00742A55">
      <w:pPr>
        <w:rPr>
          <w:rFonts w:ascii="Bookman Old Style" w:eastAsia="Times New Roman" w:hAnsi="Bookman Old Style" w:cs="Arial"/>
        </w:rPr>
      </w:pPr>
      <w:r>
        <w:rPr>
          <w:rFonts w:ascii="Bookman Old Style" w:eastAsia="Times New Roman" w:hAnsi="Bookman Old Style" w:cs="Arial"/>
        </w:rPr>
        <w:t>Τα κριτήρια / ερμηνευτικά εργαλεία που χρησιμοποιούνται :</w:t>
      </w:r>
    </w:p>
    <w:p w:rsidR="00057499" w:rsidRDefault="00057499" w:rsidP="00057499">
      <w:pPr>
        <w:pStyle w:val="a3"/>
        <w:numPr>
          <w:ilvl w:val="0"/>
          <w:numId w:val="5"/>
        </w:numPr>
        <w:rPr>
          <w:rFonts w:ascii="Bookman Old Style" w:eastAsia="Times New Roman" w:hAnsi="Bookman Old Style" w:cs="Arial"/>
        </w:rPr>
      </w:pPr>
      <w:r>
        <w:rPr>
          <w:rFonts w:ascii="Bookman Old Style" w:eastAsia="Times New Roman" w:hAnsi="Bookman Old Style" w:cs="Arial"/>
        </w:rPr>
        <w:lastRenderedPageBreak/>
        <w:t>Αυθεντική ερμηνεία : γίνεται με έκδοση ερμηνευτικού νόμου</w:t>
      </w:r>
    </w:p>
    <w:p w:rsidR="00057499" w:rsidRDefault="00057499" w:rsidP="00057499">
      <w:pPr>
        <w:pStyle w:val="a3"/>
        <w:numPr>
          <w:ilvl w:val="0"/>
          <w:numId w:val="5"/>
        </w:numPr>
        <w:rPr>
          <w:rFonts w:ascii="Bookman Old Style" w:eastAsia="Times New Roman" w:hAnsi="Bookman Old Style" w:cs="Arial"/>
        </w:rPr>
      </w:pPr>
      <w:r>
        <w:rPr>
          <w:rFonts w:ascii="Bookman Old Style" w:eastAsia="Times New Roman" w:hAnsi="Bookman Old Style" w:cs="Arial"/>
        </w:rPr>
        <w:t>Γραμματική ερμηνεία : δίνεται βάση στην διατύπωση του νόμου, δηλαδή στο νόημα των λέξεων που υπάρχουν στο κείμενό του</w:t>
      </w:r>
    </w:p>
    <w:p w:rsidR="00057499" w:rsidRDefault="00057499" w:rsidP="00057499">
      <w:pPr>
        <w:pStyle w:val="a3"/>
        <w:numPr>
          <w:ilvl w:val="0"/>
          <w:numId w:val="5"/>
        </w:numPr>
        <w:rPr>
          <w:rFonts w:ascii="Bookman Old Style" w:eastAsia="Times New Roman" w:hAnsi="Bookman Old Style" w:cs="Arial"/>
        </w:rPr>
      </w:pPr>
      <w:r>
        <w:rPr>
          <w:rFonts w:ascii="Bookman Old Style" w:eastAsia="Times New Roman" w:hAnsi="Bookman Old Style" w:cs="Arial"/>
        </w:rPr>
        <w:t>Τελολογική ερμηνεία : δίνεται βάση στο σκοπό του κανόνα δικαίου</w:t>
      </w:r>
    </w:p>
    <w:p w:rsidR="00057499" w:rsidRDefault="00057499" w:rsidP="00057499">
      <w:pPr>
        <w:pStyle w:val="a3"/>
        <w:numPr>
          <w:ilvl w:val="0"/>
          <w:numId w:val="5"/>
        </w:numPr>
        <w:rPr>
          <w:rFonts w:ascii="Bookman Old Style" w:eastAsia="Times New Roman" w:hAnsi="Bookman Old Style" w:cs="Arial"/>
        </w:rPr>
      </w:pPr>
      <w:r>
        <w:rPr>
          <w:rFonts w:ascii="Bookman Old Style" w:eastAsia="Times New Roman" w:hAnsi="Bookman Old Style" w:cs="Arial"/>
        </w:rPr>
        <w:t>Συστηματική ερμηνεία : ερευνάται η σχέση του κανόνα δικαίου με το συνολικό σύστημα των κανόνων δικαίου</w:t>
      </w:r>
    </w:p>
    <w:p w:rsidR="00CE3C2C" w:rsidRDefault="00CE3C2C" w:rsidP="00CE3C2C">
      <w:pPr>
        <w:ind w:left="360"/>
        <w:rPr>
          <w:rFonts w:ascii="Bookman Old Style" w:eastAsia="Times New Roman" w:hAnsi="Bookman Old Style" w:cs="Arial"/>
        </w:rPr>
      </w:pPr>
    </w:p>
    <w:p w:rsidR="00CE3C2C" w:rsidRPr="00CE3C2C" w:rsidRDefault="00CE3C2C" w:rsidP="00CE3C2C">
      <w:pPr>
        <w:rPr>
          <w:rFonts w:ascii="Bookman Old Style" w:eastAsia="Times New Roman" w:hAnsi="Bookman Old Style" w:cs="Arial"/>
          <w:b/>
        </w:rPr>
      </w:pPr>
      <w:r w:rsidRPr="00CE3C2C">
        <w:rPr>
          <w:rFonts w:ascii="Bookman Old Style" w:eastAsia="Times New Roman" w:hAnsi="Bookman Old Style" w:cs="Arial"/>
          <w:b/>
        </w:rPr>
        <w:t>ΒΑΣΙΚΕΣ ΑΡΧΕΣ ΜΕΤΑΞΥ ΚΑΝΟΝΩΝ ΔΙΚΑΙΟΥ</w:t>
      </w:r>
    </w:p>
    <w:p w:rsidR="00057499" w:rsidRDefault="00CE3C2C" w:rsidP="00CE3C2C">
      <w:pPr>
        <w:pStyle w:val="a3"/>
        <w:numPr>
          <w:ilvl w:val="0"/>
          <w:numId w:val="6"/>
        </w:numPr>
        <w:rPr>
          <w:rFonts w:ascii="Bookman Old Style" w:eastAsia="Times New Roman" w:hAnsi="Bookman Old Style" w:cs="Arial"/>
        </w:rPr>
      </w:pPr>
      <w:r>
        <w:rPr>
          <w:rFonts w:ascii="Bookman Old Style" w:eastAsia="Times New Roman" w:hAnsi="Bookman Old Style" w:cs="Arial"/>
        </w:rPr>
        <w:t>Ο ιεραρχικά ανώτερος κανόνας υπερτερεί</w:t>
      </w:r>
    </w:p>
    <w:p w:rsidR="00CE3C2C" w:rsidRDefault="00CE3C2C" w:rsidP="00CE3C2C">
      <w:pPr>
        <w:pStyle w:val="a3"/>
        <w:numPr>
          <w:ilvl w:val="0"/>
          <w:numId w:val="6"/>
        </w:numPr>
        <w:rPr>
          <w:rFonts w:ascii="Bookman Old Style" w:eastAsia="Times New Roman" w:hAnsi="Bookman Old Style" w:cs="Arial"/>
        </w:rPr>
      </w:pPr>
      <w:r>
        <w:rPr>
          <w:rFonts w:ascii="Bookman Old Style" w:eastAsia="Times New Roman" w:hAnsi="Bookman Old Style" w:cs="Arial"/>
        </w:rPr>
        <w:t>Ο μεταγενέστερος κανόνας ισχύει έναντι του προγενέστερου</w:t>
      </w:r>
    </w:p>
    <w:p w:rsidR="00CE3C2C" w:rsidRDefault="00CE3C2C" w:rsidP="00CE3C2C">
      <w:pPr>
        <w:pStyle w:val="a3"/>
        <w:numPr>
          <w:ilvl w:val="0"/>
          <w:numId w:val="6"/>
        </w:numPr>
        <w:rPr>
          <w:rFonts w:ascii="Bookman Old Style" w:eastAsia="Times New Roman" w:hAnsi="Bookman Old Style" w:cs="Arial"/>
        </w:rPr>
      </w:pPr>
      <w:r>
        <w:rPr>
          <w:rFonts w:ascii="Bookman Old Style" w:eastAsia="Times New Roman" w:hAnsi="Bookman Old Style" w:cs="Arial"/>
        </w:rPr>
        <w:t>Ο ειδικός κανόνας ισχύει έναντι του γενικού.</w:t>
      </w:r>
    </w:p>
    <w:p w:rsidR="00CE3C2C" w:rsidRPr="00CE3C2C" w:rsidRDefault="00CE3C2C" w:rsidP="00CE3C2C">
      <w:pPr>
        <w:ind w:left="360"/>
        <w:rPr>
          <w:rFonts w:ascii="Bookman Old Style" w:eastAsia="Times New Roman" w:hAnsi="Bookman Old Style" w:cs="Arial"/>
        </w:rPr>
      </w:pPr>
      <w:r>
        <w:rPr>
          <w:rFonts w:ascii="Bookman Old Style" w:eastAsia="Times New Roman" w:hAnsi="Bookman Old Style" w:cs="Arial"/>
        </w:rPr>
        <w:t>(*** το (3) υπερισχύει του (2) δηλ. ένας μεταγενέστερος γενικός κανόνας δεν υπερισχύει ενός προγενέστερου ειδικού)</w:t>
      </w:r>
    </w:p>
    <w:p w:rsidR="00742A55" w:rsidRDefault="00742A55" w:rsidP="00742A55">
      <w:pPr>
        <w:rPr>
          <w:rFonts w:ascii="Bookman Old Style" w:eastAsia="Times New Roman" w:hAnsi="Bookman Old Style" w:cs="Arial"/>
          <w:b/>
        </w:rPr>
      </w:pPr>
    </w:p>
    <w:p w:rsidR="00742A55" w:rsidRDefault="00742A55" w:rsidP="00742A55">
      <w:pPr>
        <w:rPr>
          <w:rFonts w:ascii="Bookman Old Style" w:eastAsia="Times New Roman" w:hAnsi="Bookman Old Style" w:cs="Arial"/>
          <w:b/>
        </w:rPr>
      </w:pPr>
    </w:p>
    <w:p w:rsidR="00742A55" w:rsidRDefault="00742A55" w:rsidP="00742A55">
      <w:pPr>
        <w:rPr>
          <w:rFonts w:ascii="Bookman Old Style" w:eastAsia="Times New Roman" w:hAnsi="Bookman Old Style" w:cs="Arial"/>
          <w:b/>
        </w:rPr>
      </w:pPr>
    </w:p>
    <w:p w:rsidR="00742A55" w:rsidRDefault="00742A55" w:rsidP="00742A55"/>
    <w:p w:rsidR="00B56CC1" w:rsidRDefault="00B56CC1"/>
    <w:sectPr w:rsidR="00B56CC1" w:rsidSect="00227F7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674B5"/>
    <w:multiLevelType w:val="multilevel"/>
    <w:tmpl w:val="28DA83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8F62D53"/>
    <w:multiLevelType w:val="hybridMultilevel"/>
    <w:tmpl w:val="E89AE95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97B53F4"/>
    <w:multiLevelType w:val="hybridMultilevel"/>
    <w:tmpl w:val="3C56105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6C6D682E"/>
    <w:multiLevelType w:val="hybridMultilevel"/>
    <w:tmpl w:val="1256F0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74F538F7"/>
    <w:multiLevelType w:val="hybridMultilevel"/>
    <w:tmpl w:val="3EF82F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781C09D7"/>
    <w:multiLevelType w:val="multilevel"/>
    <w:tmpl w:val="7A7664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42A55"/>
    <w:rsid w:val="00021B59"/>
    <w:rsid w:val="00057499"/>
    <w:rsid w:val="000E2119"/>
    <w:rsid w:val="00320629"/>
    <w:rsid w:val="00742A55"/>
    <w:rsid w:val="0095006A"/>
    <w:rsid w:val="009F5630"/>
    <w:rsid w:val="00B56CC1"/>
    <w:rsid w:val="00B77898"/>
    <w:rsid w:val="00CE3C2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B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2A55"/>
    <w:pPr>
      <w:ind w:left="720"/>
      <w:contextualSpacing/>
    </w:pPr>
  </w:style>
  <w:style w:type="character" w:styleId="-">
    <w:name w:val="Hyperlink"/>
    <w:basedOn w:val="a0"/>
    <w:uiPriority w:val="99"/>
    <w:semiHidden/>
    <w:unhideWhenUsed/>
    <w:rsid w:val="00742A55"/>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657</Words>
  <Characters>3548</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2023-11-01T20:45:00Z</dcterms:created>
  <dcterms:modified xsi:type="dcterms:W3CDTF">2023-11-16T06:52:00Z</dcterms:modified>
</cp:coreProperties>
</file>