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8D" w:rsidRPr="00D67815" w:rsidRDefault="00E5578D" w:rsidP="00E5578D">
      <w:pPr>
        <w:shd w:val="clear" w:color="auto" w:fill="FFFFFF"/>
        <w:spacing w:before="120" w:after="120" w:line="240" w:lineRule="auto"/>
        <w:jc w:val="center"/>
        <w:rPr>
          <w:rFonts w:ascii="Bookman Old Style" w:eastAsia="Times New Roman" w:hAnsi="Bookman Old Style" w:cs="Arial"/>
          <w:b/>
          <w:color w:val="202122"/>
          <w:sz w:val="24"/>
          <w:szCs w:val="24"/>
        </w:rPr>
      </w:pPr>
      <w:r w:rsidRPr="00D67815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ΠΟΙΝΙΚΟ ΔΙΚΑΙΟ</w:t>
      </w:r>
    </w:p>
    <w:p w:rsidR="00D67815" w:rsidRDefault="00D67815" w:rsidP="00781595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</w:p>
    <w:p w:rsidR="00781595" w:rsidRPr="00D67815" w:rsidRDefault="00D67815" w:rsidP="00781595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   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Ποινικό Δίκαιο είναι </w:t>
      </w:r>
      <w:r w:rsidR="00772243" w:rsidRP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 xml:space="preserve">ο κλάδος του Δικαίου, δηλαδή σύνολο κανόνων </w:t>
      </w:r>
      <w:r w:rsidR="00E2487C" w:rsidRP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 xml:space="preserve">δικαίου, </w:t>
      </w:r>
      <w:r w:rsidR="00772243" w:rsidRP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που ρυθμίζει τις προϋποθέσεις και τον τρόπο που η Πολιτεία επιβάλλει κυρώσεις – ποινές επί άδικων πράξεων</w:t>
      </w:r>
      <w:r w:rsidR="00781595" w:rsidRP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, από όργανά της που έχουν θεσπιστεί για το λόγο αυτόν</w:t>
      </w:r>
      <w:r w:rsid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,</w:t>
      </w:r>
      <w:r w:rsidR="00781595" w:rsidRPr="00A91460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 xml:space="preserve"> όπως προβλέπει</w:t>
      </w:r>
      <w:r w:rsidR="00B434E3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 xml:space="preserve"> ο Νόμος</w:t>
      </w:r>
      <w:r w:rsidR="00781595" w:rsidRPr="00D67815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772243" w:rsidRPr="00D67815" w:rsidRDefault="00A91460" w:rsidP="00772243">
      <w:pPr>
        <w:shd w:val="clear" w:color="auto" w:fill="FFFFFF"/>
        <w:spacing w:before="120" w:after="120" w:line="240" w:lineRule="auto"/>
        <w:jc w:val="center"/>
        <w:rPr>
          <w:rFonts w:ascii="Bookman Old Style" w:eastAsia="Times New Roman" w:hAnsi="Bookman Old Style" w:cs="Arial"/>
          <w:color w:val="202122"/>
          <w:sz w:val="24"/>
          <w:szCs w:val="24"/>
        </w:rPr>
      </w:pPr>
      <w:r>
        <w:rPr>
          <w:rFonts w:ascii="Bookman Old Style" w:eastAsia="Times New Roman" w:hAnsi="Bookman Old Style" w:cs="Arial"/>
          <w:color w:val="202122"/>
          <w:sz w:val="24"/>
          <w:szCs w:val="24"/>
        </w:rPr>
        <w:t>-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-------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sym w:font="Wingdings" w:char="F0E0"/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Ουσιαστικό ποινικό δίκαιο : ποιες πράξεις είναι αξιόποινες και οι κυρώσεις τους</w:t>
      </w:r>
    </w:p>
    <w:p w:rsidR="00772243" w:rsidRPr="00D67815" w:rsidRDefault="00A91460" w:rsidP="00772243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>
        <w:rPr>
          <w:rFonts w:ascii="Bookman Old Style" w:eastAsia="Times New Roman" w:hAnsi="Bookman Old Style" w:cs="Arial"/>
          <w:color w:val="202122"/>
          <w:sz w:val="24"/>
          <w:szCs w:val="24"/>
        </w:rPr>
        <w:t>-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-</w:t>
      </w:r>
      <w:r w:rsidR="00E5578D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--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----</w:t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sym w:font="Wingdings" w:char="F0E0"/>
      </w:r>
      <w:r w:rsidR="00772243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Δικονομικό ποινικό δίκαιο (Ποινική Δικονομία) : τα όργανα της Πολιτείας που είναι αρμόδια να επιβάλλουν τις κυρώσεις του ουσιαστικού ποινικού δικαίου και την διαδικασία που ακολουθούν γι’ αυτό</w:t>
      </w:r>
    </w:p>
    <w:p w:rsidR="00D67815" w:rsidRDefault="00D6781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</w:p>
    <w:p w:rsidR="00772243" w:rsidRPr="00D67815" w:rsidRDefault="0078159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Κύριες πηγές άσκησης του Ουσιαστικού Ποινικού Δικαίου στην Ελλάδα είναι </w:t>
      </w:r>
      <w:r w:rsidRPr="00D67815">
        <w:rPr>
          <w:rFonts w:ascii="Bookman Old Style" w:eastAsia="Times New Roman" w:hAnsi="Bookman Old Style" w:cs="Arial"/>
          <w:sz w:val="24"/>
          <w:szCs w:val="24"/>
        </w:rPr>
        <w:t>ο </w:t>
      </w:r>
      <w:hyperlink r:id="rId5" w:tooltip="Ποινικός Κώδικας" w:history="1">
        <w:r w:rsidRPr="00D67815">
          <w:rPr>
            <w:rFonts w:ascii="Bookman Old Style" w:eastAsia="Times New Roman" w:hAnsi="Bookman Old Style" w:cs="Arial"/>
            <w:b/>
            <w:bCs/>
            <w:sz w:val="24"/>
            <w:szCs w:val="24"/>
          </w:rPr>
          <w:t>Ποινικός Κώδικας</w:t>
        </w:r>
      </w:hyperlink>
      <w:r w:rsidRPr="00D67815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67815">
        <w:rPr>
          <w:rFonts w:ascii="Bookman Old Style" w:eastAsia="Times New Roman" w:hAnsi="Bookman Old Style" w:cs="Arial"/>
          <w:sz w:val="24"/>
          <w:szCs w:val="24"/>
        </w:rPr>
        <w:t>(</w:t>
      </w:r>
      <w:r w:rsidR="00D4484C" w:rsidRPr="00D67815">
        <w:rPr>
          <w:rFonts w:ascii="Bookman Old Style" w:eastAsia="Times New Roman" w:hAnsi="Bookman Old Style" w:cs="Arial"/>
          <w:sz w:val="24"/>
          <w:szCs w:val="24"/>
        </w:rPr>
        <w:t xml:space="preserve">για συντομία </w:t>
      </w:r>
      <w:r w:rsidRPr="00D67815">
        <w:rPr>
          <w:rFonts w:ascii="Bookman Old Style" w:eastAsia="Times New Roman" w:hAnsi="Bookman Old Style" w:cs="Arial"/>
          <w:sz w:val="24"/>
          <w:szCs w:val="24"/>
        </w:rPr>
        <w:t>από εδώ και στο εξής Π.Κ.), ενώ του Ποινικού Δικονομικού Δικαίου ο </w:t>
      </w:r>
      <w:r w:rsidRPr="00D67815">
        <w:rPr>
          <w:rFonts w:ascii="Bookman Old Style" w:eastAsia="Times New Roman" w:hAnsi="Bookman Old Style" w:cs="Arial"/>
          <w:bCs/>
          <w:sz w:val="24"/>
          <w:szCs w:val="24"/>
        </w:rPr>
        <w:t>Κώδικας Ποινικής Δικονομίας</w:t>
      </w:r>
      <w:r w:rsidRPr="00D67815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BD18E9" w:rsidRPr="00D67815" w:rsidRDefault="00CA518D" w:rsidP="00CA51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sz w:val="24"/>
          <w:szCs w:val="24"/>
          <w:u w:val="single"/>
        </w:rPr>
        <w:t>Ο Π.Κ.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> άρχισε να ισχύει την 01/01/1951</w:t>
      </w:r>
      <w:r w:rsidR="00BD18E9" w:rsidRPr="00D6781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A518D" w:rsidRPr="00D67815" w:rsidRDefault="00BD18E9" w:rsidP="00CA51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sz w:val="24"/>
          <w:szCs w:val="24"/>
        </w:rPr>
        <w:t>Σ</w:t>
      </w:r>
      <w:r w:rsidR="00CA518D"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το </w:t>
      </w:r>
      <w:r w:rsidR="00CA518D" w:rsidRPr="00D67815">
        <w:rPr>
          <w:rFonts w:ascii="Bookman Old Style" w:eastAsia="Times New Roman" w:hAnsi="Bookman Old Style" w:cs="Times New Roman"/>
          <w:sz w:val="24"/>
          <w:szCs w:val="24"/>
          <w:u w:val="single"/>
        </w:rPr>
        <w:t>γενικό μέρος</w:t>
      </w:r>
      <w:r w:rsidR="00CA518D"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 περιέχει διατάξεις που έχουν εφαρμογή σε όλα τα εγκλήματα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 (απόπειρα, συμμετοχή, δόλος, </w:t>
      </w:r>
      <w:r w:rsidR="002400CD"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αμέλεια κ.α.) και στο </w:t>
      </w:r>
      <w:r w:rsidR="002400CD" w:rsidRPr="00D67815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ειδικό μέρος </w:t>
      </w:r>
      <w:r w:rsidR="002400CD" w:rsidRPr="00D67815">
        <w:rPr>
          <w:rFonts w:ascii="Bookman Old Style" w:eastAsia="Times New Roman" w:hAnsi="Bookman Old Style" w:cs="Times New Roman"/>
          <w:sz w:val="24"/>
          <w:szCs w:val="24"/>
        </w:rPr>
        <w:t>περιέχει τις επιμέρους εγκληματικές πράξεις (κλοπή, δυσφήμηση, απάτη, απειλή, σωματική βλάβη κ.α.)</w:t>
      </w:r>
      <w:r w:rsidR="00CA518D" w:rsidRPr="00D6781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A518D" w:rsidRPr="00D67815" w:rsidRDefault="00CA518D" w:rsidP="00CA51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sz w:val="24"/>
          <w:szCs w:val="24"/>
        </w:rPr>
        <w:t>Πολλές ποινικές διατάξεις περιέχονται στους λεγόμενους </w:t>
      </w:r>
      <w:r w:rsidRPr="00D67815">
        <w:rPr>
          <w:rFonts w:ascii="Bookman Old Style" w:eastAsia="Times New Roman" w:hAnsi="Bookman Old Style" w:cs="Times New Roman"/>
          <w:sz w:val="24"/>
          <w:szCs w:val="24"/>
          <w:u w:val="single"/>
        </w:rPr>
        <w:t>ειδικούς ποινικούς νόμους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> όπως ο  δασικός κώδικας, ο κώδικας οδικής κυκλοφορίας</w:t>
      </w:r>
      <w:r w:rsidR="002400CD"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, νόμος περί ναρκωτικών 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>κ.α.</w:t>
      </w:r>
    </w:p>
    <w:p w:rsidR="002400CD" w:rsidRPr="00D67815" w:rsidRDefault="002400CD" w:rsidP="00CA51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Οι διατάξεις του γενικού μέρους ισχύουν </w:t>
      </w:r>
      <w:r w:rsidR="00D67815">
        <w:rPr>
          <w:rFonts w:ascii="Bookman Old Style" w:eastAsia="Times New Roman" w:hAnsi="Bookman Old Style" w:cs="Times New Roman"/>
          <w:sz w:val="24"/>
          <w:szCs w:val="24"/>
        </w:rPr>
        <w:t xml:space="preserve">τόσο 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για τα προβλεπόμενα στο ειδικό μέρος </w:t>
      </w:r>
      <w:r w:rsidR="00D67815">
        <w:rPr>
          <w:rFonts w:ascii="Bookman Old Style" w:eastAsia="Times New Roman" w:hAnsi="Bookman Old Style" w:cs="Times New Roman"/>
          <w:sz w:val="24"/>
          <w:szCs w:val="24"/>
        </w:rPr>
        <w:t xml:space="preserve">εγκλήματα, όσο και γι αυτά </w:t>
      </w:r>
      <w:r w:rsidRPr="00D67815">
        <w:rPr>
          <w:rFonts w:ascii="Bookman Old Style" w:eastAsia="Times New Roman" w:hAnsi="Bookman Old Style" w:cs="Times New Roman"/>
          <w:sz w:val="24"/>
          <w:szCs w:val="24"/>
        </w:rPr>
        <w:t xml:space="preserve">στους ειδικούς ποινικούς νόμους, εκτός αν ο ειδικότερος νόμος ορίζει διαφορετικά. </w:t>
      </w:r>
    </w:p>
    <w:p w:rsidR="00781595" w:rsidRPr="00D67815" w:rsidRDefault="00555252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«Το </w:t>
      </w:r>
      <w:proofErr w:type="spellStart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Π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οινικό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Δ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ίκαιο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ν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είναι ως εκ της φύσεως αυτού, το τμήμα εκείνο του δικαίου, το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οποίον ευρίσκεται εις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στενώτεραν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επαφήν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με την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λα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ϊ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κήν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ψυχήν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και την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λαϊκήν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  <w:proofErr w:type="spellStart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συνείδησιν</w:t>
      </w:r>
      <w:proofErr w:type="spellEnd"/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»</w:t>
      </w:r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(Ν. </w:t>
      </w:r>
      <w:proofErr w:type="spellStart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Χωραφάς</w:t>
      </w:r>
      <w:proofErr w:type="spellEnd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– Καθηγητής Νομικής Σχολής, διαμορφωτής του Π.Κ. Πηγή: «</w:t>
      </w:r>
      <w:proofErr w:type="spellStart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Ποινικόν</w:t>
      </w:r>
      <w:proofErr w:type="spellEnd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δίκαιον Ι – </w:t>
      </w:r>
      <w:proofErr w:type="spellStart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Γενικόν</w:t>
      </w:r>
      <w:proofErr w:type="spellEnd"/>
      <w:r w:rsidR="00BD18E9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Μέρος» Νικολάου Ανδρουλάκη)</w:t>
      </w:r>
    </w:p>
    <w:p w:rsidR="00457CB5" w:rsidRDefault="00457CB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b/>
          <w:color w:val="202122"/>
          <w:sz w:val="24"/>
          <w:szCs w:val="24"/>
        </w:rPr>
      </w:pPr>
    </w:p>
    <w:p w:rsidR="002E4C46" w:rsidRPr="00D67815" w:rsidRDefault="002E4C46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b/>
          <w:color w:val="202122"/>
          <w:sz w:val="24"/>
          <w:szCs w:val="24"/>
        </w:rPr>
      </w:pPr>
      <w:r w:rsidRPr="00D67815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 xml:space="preserve">Τα δύο κεντρικά μεγέθη του Ποινικού Δικαίου : </w:t>
      </w:r>
      <w:r w:rsidR="00E5578D" w:rsidRPr="00D67815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Το Έγκλημα και η Ποινή</w:t>
      </w:r>
      <w:r w:rsidR="002400CD" w:rsidRPr="00D67815">
        <w:rPr>
          <w:rFonts w:ascii="Bookman Old Style" w:eastAsia="Times New Roman" w:hAnsi="Bookman Old Style" w:cs="Arial"/>
          <w:b/>
          <w:color w:val="202122"/>
          <w:sz w:val="24"/>
          <w:szCs w:val="24"/>
        </w:rPr>
        <w:t>.</w:t>
      </w:r>
    </w:p>
    <w:p w:rsidR="00457CB5" w:rsidRDefault="00457CB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</w:pPr>
    </w:p>
    <w:p w:rsidR="002400CD" w:rsidRPr="00D67815" w:rsidRDefault="002400CD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D67815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Η τυπική έννοια του εγκλήματος</w:t>
      </w: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είναι ότι «έγκλημα είναι κάθε πράξη που τιμωρείται από το νόμο με ποινή»</w:t>
      </w:r>
    </w:p>
    <w:p w:rsidR="002400CD" w:rsidRPr="00A91460" w:rsidRDefault="002400CD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</w:pPr>
      <w:r w:rsidRPr="00D67815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 xml:space="preserve">Η τυπική έννοια της </w:t>
      </w:r>
      <w:r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 xml:space="preserve">ποινής είναι ότι «ποινή είναι </w:t>
      </w:r>
      <w:proofErr w:type="spellStart"/>
      <w:r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δεινόν</w:t>
      </w:r>
      <w:proofErr w:type="spellEnd"/>
      <w:r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 xml:space="preserve"> (κακό) το οποίο επιβάλλεται ως τέτοιο κατά του δράστη με ορισμένη διαδικασία από τα όργανα της Πολιτείας σε ένδειξη ιδιαίτερης αποδοκιμασίας αυτού από την έννομη τάξη</w:t>
      </w:r>
      <w:r w:rsid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 xml:space="preserve"> </w:t>
      </w:r>
      <w:r w:rsidR="00721ABE"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 xml:space="preserve">(Ν. </w:t>
      </w:r>
      <w:proofErr w:type="spellStart"/>
      <w:r w:rsidR="00721ABE"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Χωραφάς</w:t>
      </w:r>
      <w:proofErr w:type="spellEnd"/>
      <w:r w:rsidR="00721ABE"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)</w:t>
      </w:r>
      <w:r w:rsidRPr="00A91460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»</w:t>
      </w:r>
    </w:p>
    <w:p w:rsidR="006934BC" w:rsidRPr="00A91460" w:rsidRDefault="002400CD" w:rsidP="00A91460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lastRenderedPageBreak/>
        <w:t>«</w:t>
      </w:r>
      <w:proofErr w:type="spellStart"/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>Δεινόν</w:t>
      </w:r>
      <w:proofErr w:type="spellEnd"/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(κακό) που επιβάλλεται ως τέτοιο</w:t>
      </w:r>
      <w:r w:rsidR="00A91460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κατά του δράστη</w:t>
      </w:r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» </w:t>
      </w:r>
      <w:r w:rsidR="006934BC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= </w:t>
      </w:r>
      <w:r w:rsidR="00A91460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η τιμωρία της Πολιτείας στον δράστη εγκληματικής πράξης </w:t>
      </w:r>
      <w:r w:rsidR="006934BC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>έγκειται στην προσβολή – βλάβη ορισμένων έννομων αγαθών του ατόμου π.χ. ελευθερίας, περιουσίας, τιμής και υπόληψης κλπ που θέλει να προκαλέσει πόνο στον τιμωρούμενο, θέλει να τον βλάψει</w:t>
      </w:r>
      <w:r w:rsidR="00A91460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με σκοπό να τον σωφρονίσει, αλλά και να αποτρέψει τον ίδιο ή άλλους από την τέλεση εγκλημάτων.</w:t>
      </w:r>
    </w:p>
    <w:p w:rsidR="002400CD" w:rsidRPr="00A91460" w:rsidRDefault="006934BC" w:rsidP="00A91460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>«με ορισμένη διαδικασία από τα όργανα της Πολιτείας» = ποινική δίκη – ποινικός δικαστής</w:t>
      </w:r>
      <w:r w:rsidR="002400CD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</w:p>
    <w:p w:rsidR="006934BC" w:rsidRPr="00A91460" w:rsidRDefault="006934BC" w:rsidP="00A91460">
      <w:pPr>
        <w:pStyle w:val="a3"/>
        <w:numPr>
          <w:ilvl w:val="0"/>
          <w:numId w:val="14"/>
        </w:num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>«Ιδιαίτερη αποδοκιμασία του τιμωρούμενου ως πολίτη»= η ποινή επιβάλλεται για να προκαλέσει πόνο αλλά και σαν ιδιαίτερη αποδοκιμασία – στίγμα από την έννομη τάξη, δηλ. η ποινή έχει ιδιαίτερη σοβαρότητα</w:t>
      </w:r>
      <w:r w:rsidR="00A91460" w:rsidRPr="00A91460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</w:t>
      </w:r>
    </w:p>
    <w:p w:rsidR="006934BC" w:rsidRDefault="006934BC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Για κάτι το οποίο έπραξε </w:t>
      </w:r>
      <w:r w:rsidR="00721ABE" w:rsidRPr="00D67815">
        <w:rPr>
          <w:rFonts w:ascii="Bookman Old Style" w:eastAsia="Times New Roman" w:hAnsi="Bookman Old Style" w:cs="Arial"/>
          <w:color w:val="202122"/>
          <w:sz w:val="24"/>
          <w:szCs w:val="24"/>
        </w:rPr>
        <w:t>ή για κάτι το οποίο είναι; Τιμωρείται η πράξη.</w:t>
      </w:r>
    </w:p>
    <w:p w:rsidR="00457CB5" w:rsidRDefault="00457CB5" w:rsidP="00C76A3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C76A36" w:rsidRPr="00C76A36" w:rsidRDefault="00C76A36" w:rsidP="00C76A3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C76A36">
        <w:rPr>
          <w:rFonts w:ascii="Bookman Old Style" w:eastAsia="Times New Roman" w:hAnsi="Bookman Old Style" w:cs="Times New Roman"/>
          <w:b/>
          <w:bCs/>
          <w:sz w:val="28"/>
          <w:szCs w:val="28"/>
        </w:rPr>
        <w:t>Ερώτηση Πιστοποίησης Β.23: «Να δώσετε τον ορισμό της ποινής. Ποιες ποινές στερητικές ελευθερίας γνωρίζετε;»</w:t>
      </w:r>
    </w:p>
    <w:p w:rsidR="00C76A36" w:rsidRDefault="00C76A36" w:rsidP="00C76A3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91460" w:rsidRPr="00B434E3" w:rsidRDefault="00C76A36" w:rsidP="00C76A36">
      <w:p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u w:val="single"/>
        </w:rPr>
      </w:pPr>
      <w:r w:rsidRPr="00B434E3">
        <w:rPr>
          <w:rFonts w:ascii="Bookman Old Style" w:eastAsia="Times New Roman" w:hAnsi="Bookman Old Style" w:cs="Times New Roman"/>
          <w:bCs/>
          <w:sz w:val="24"/>
          <w:szCs w:val="24"/>
          <w:u w:val="single"/>
        </w:rPr>
        <w:t xml:space="preserve">Ποινή είναι η τιμωρία της Πολιτείας στον δράστη εγκληματικής πράξης με σκοπό να τον σωφρονίσει, αλλά και να αποτρέψει αυτόν ή άλλους από την τέλεση εγκληματικών πράξεων, η οποία επιβάλλεται στον τιμωρούμενο με ορισμένη διαδικασία από τα θεσμοθετημένα όργανα της Πολιτείας, ως ιδιαίτερη αποδοκιμασία της προς αυτόν ως πολίτη για την πράξη του. </w:t>
      </w:r>
    </w:p>
    <w:p w:rsidR="00A91460" w:rsidRDefault="00A91460" w:rsidP="00D678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67815" w:rsidRPr="00D67815" w:rsidRDefault="00D67815" w:rsidP="00D678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b/>
          <w:bCs/>
          <w:sz w:val="24"/>
          <w:szCs w:val="24"/>
        </w:rPr>
        <w:t>Είδη ποινών (άρθρα 50 – 76 Π.Κ.)</w:t>
      </w:r>
    </w:p>
    <w:p w:rsidR="00D67815" w:rsidRPr="00D67815" w:rsidRDefault="00D67815" w:rsidP="00D678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67815" w:rsidRPr="00D67815" w:rsidRDefault="00D67815" w:rsidP="00D6781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b/>
          <w:bCs/>
          <w:sz w:val="24"/>
          <w:szCs w:val="24"/>
        </w:rPr>
        <w:t>Ι. Κύριες Ποινές άρθρα 50 – 57 Π.Κ.</w:t>
      </w:r>
    </w:p>
    <w:p w:rsidR="00D67815" w:rsidRPr="00D67815" w:rsidRDefault="00D67815" w:rsidP="00D6781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D67815">
        <w:rPr>
          <w:rFonts w:ascii="Bookman Old Style" w:eastAsia="Times New Roman" w:hAnsi="Bookman Old Style" w:cs="Times New Roman"/>
          <w:bCs/>
          <w:sz w:val="24"/>
          <w:szCs w:val="24"/>
        </w:rPr>
        <w:t>( η θανατική ποινή έχει καταργηθεί)</w:t>
      </w:r>
    </w:p>
    <w:p w:rsidR="00D67815" w:rsidRPr="004C6472" w:rsidRDefault="00D67815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D6781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Α)</w:t>
      </w:r>
      <w:r w:rsidRPr="00D67815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 xml:space="preserve"> </w:t>
      </w:r>
      <w:r w:rsidRPr="004C6472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>Οι στερητικές της ελευθερίας ποινές :</w:t>
      </w:r>
    </w:p>
    <w:p w:rsidR="00D67815" w:rsidRPr="00457CB5" w:rsidRDefault="00D67815" w:rsidP="00D67815">
      <w:pPr>
        <w:pStyle w:val="a3"/>
        <w:numPr>
          <w:ilvl w:val="0"/>
          <w:numId w:val="11"/>
        </w:num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457CB5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>Κάθειρξη (άρθρο 52 Π.Κ.) : αυτή είναι πρόσκαιρη και κατ’ εξαίρεση, εφόσον ο νόμος το ορίζει ρητά, ισόβια. Η πρόσκαιρη κάθειρξη έχει διάρκεια 5-15 χρόνια.</w:t>
      </w:r>
    </w:p>
    <w:p w:rsidR="00D67815" w:rsidRPr="00457CB5" w:rsidRDefault="00D67815" w:rsidP="00D67815">
      <w:pPr>
        <w:pStyle w:val="a3"/>
        <w:numPr>
          <w:ilvl w:val="0"/>
          <w:numId w:val="11"/>
        </w:num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457CB5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 xml:space="preserve">Φυλάκιση (άρθρο 53 Π.Κ.) με διάρκεια 10 μέρες – 5 χρόνια </w:t>
      </w:r>
    </w:p>
    <w:p w:rsidR="00D67815" w:rsidRPr="00457CB5" w:rsidRDefault="00D67815" w:rsidP="00D67815">
      <w:pPr>
        <w:pStyle w:val="a3"/>
        <w:numPr>
          <w:ilvl w:val="0"/>
          <w:numId w:val="11"/>
        </w:num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457CB5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 xml:space="preserve">Ο περιορισμός σε ειδικό κατάστημα κράτησης νέων (άρθρο 54 Π.Κ.) με διάρκεια 6 μήνες – 5 έτη (ή 2 χρόνια – 8 έτη) </w:t>
      </w:r>
    </w:p>
    <w:p w:rsidR="00B434E3" w:rsidRDefault="00B434E3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D67815" w:rsidRPr="00D67815" w:rsidRDefault="00D67815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Β)</w:t>
      </w:r>
      <w:r w:rsidRPr="00D67815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 xml:space="preserve"> Χρηματική ποινή </w:t>
      </w:r>
      <w:r w:rsidRPr="00D67815">
        <w:rPr>
          <w:rFonts w:ascii="Bookman Old Style" w:eastAsia="Times New Roman" w:hAnsi="Bookman Old Style" w:cs="Times New Roman"/>
          <w:color w:val="000000"/>
          <w:sz w:val="24"/>
          <w:szCs w:val="24"/>
        </w:rPr>
        <w:t>(άρθρο 57 Π.Κ.). Διαγράφεται με το θάνατο του καταδικασθέντος και σε καμία περίπτωση δεν εκτελείται κατά των κληρονόμων του [ Η ποινή είναι προσωποπαγής]</w:t>
      </w:r>
    </w:p>
    <w:p w:rsidR="00D67815" w:rsidRPr="00D67815" w:rsidRDefault="00D67815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D67815" w:rsidRPr="00D67815" w:rsidRDefault="00D67815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color w:val="000000"/>
          <w:sz w:val="24"/>
          <w:szCs w:val="24"/>
        </w:rPr>
        <w:t>(Στον Π.Κ. προβλέπεται και η παροχή κοινωφελούς εργασίας ως κύρια ποινή, η ισχύς της διάταξης αυτής όμως ανεστάλη)</w:t>
      </w:r>
    </w:p>
    <w:p w:rsidR="00D67815" w:rsidRPr="00D67815" w:rsidRDefault="00D67815" w:rsidP="00D67815">
      <w:pPr>
        <w:spacing w:after="6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D67815" w:rsidRPr="00D67815" w:rsidRDefault="00D67815" w:rsidP="00D6781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67815">
        <w:rPr>
          <w:rFonts w:ascii="Bookman Old Style" w:eastAsia="Times New Roman" w:hAnsi="Bookman Old Style" w:cs="Times New Roman"/>
          <w:b/>
          <w:sz w:val="24"/>
          <w:szCs w:val="24"/>
        </w:rPr>
        <w:t>ΙΙ. Παρεπόμενες ποινές άρθρα 59-68 Π.Κ.</w:t>
      </w:r>
    </w:p>
    <w:p w:rsidR="00D67815" w:rsidRPr="004C6472" w:rsidRDefault="00D67815" w:rsidP="00D678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6472">
        <w:rPr>
          <w:rFonts w:ascii="Bookman Old Style" w:eastAsia="Times New Roman" w:hAnsi="Bookman Old Style" w:cs="Times New Roman"/>
          <w:sz w:val="24"/>
          <w:szCs w:val="24"/>
        </w:rPr>
        <w:t>Αποστέρηση θέσεων και αξιωμάτων (άρθρο 60 Π.Κ.)</w:t>
      </w:r>
    </w:p>
    <w:p w:rsidR="00D67815" w:rsidRPr="004C6472" w:rsidRDefault="00D67815" w:rsidP="00D678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6472">
        <w:rPr>
          <w:rFonts w:ascii="Bookman Old Style" w:eastAsia="Times New Roman" w:hAnsi="Bookman Old Style" w:cs="Times New Roman"/>
          <w:sz w:val="24"/>
          <w:szCs w:val="24"/>
        </w:rPr>
        <w:lastRenderedPageBreak/>
        <w:t>Απαγόρευση άσκησης επαγγέλματος (άρθρο 65 Π.Κ.)</w:t>
      </w:r>
    </w:p>
    <w:p w:rsidR="00D67815" w:rsidRPr="004C6472" w:rsidRDefault="00D67815" w:rsidP="00D678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6472">
        <w:rPr>
          <w:rFonts w:ascii="Bookman Old Style" w:eastAsia="Times New Roman" w:hAnsi="Bookman Old Style" w:cs="Times New Roman"/>
          <w:sz w:val="24"/>
          <w:szCs w:val="24"/>
        </w:rPr>
        <w:t>Αφαίρεση άδειας οδήγησης ή εκμετάλλευσης μεταφορικού μέσου(άρθρο 66 Π.Κ.)</w:t>
      </w:r>
    </w:p>
    <w:p w:rsidR="00D67815" w:rsidRPr="004C6472" w:rsidRDefault="00D67815" w:rsidP="00D678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6472">
        <w:rPr>
          <w:rFonts w:ascii="Bookman Old Style" w:eastAsia="Times New Roman" w:hAnsi="Bookman Old Style" w:cs="Times New Roman"/>
          <w:sz w:val="24"/>
          <w:szCs w:val="24"/>
        </w:rPr>
        <w:t>Δημοσίευση καταδικαστικής απόφασης(άρθρο 67 Π.Κ.)</w:t>
      </w:r>
    </w:p>
    <w:p w:rsidR="00D67815" w:rsidRPr="004C6472" w:rsidRDefault="00D67815" w:rsidP="00D678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C6472">
        <w:rPr>
          <w:rFonts w:ascii="Bookman Old Style" w:eastAsia="Times New Roman" w:hAnsi="Bookman Old Style" w:cs="Times New Roman"/>
          <w:sz w:val="24"/>
          <w:szCs w:val="24"/>
        </w:rPr>
        <w:t>Δήμευση(άρθρο 68 Π.Κ.)</w:t>
      </w:r>
    </w:p>
    <w:p w:rsidR="00D67815" w:rsidRPr="004C6472" w:rsidRDefault="00D67815" w:rsidP="00D6781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67815" w:rsidRDefault="00D6781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</w:p>
    <w:p w:rsidR="00D67815" w:rsidRPr="00D67815" w:rsidRDefault="00D67815" w:rsidP="00B25AF0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</w:p>
    <w:p w:rsidR="006934BC" w:rsidRDefault="006934BC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E5578D" w:rsidRDefault="00E5578D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2E4C46" w:rsidRDefault="002E4C46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2E4C46" w:rsidRDefault="002E4C46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2E4C46" w:rsidRDefault="002E4C46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2E4C46" w:rsidRDefault="002E4C46" w:rsidP="00B25AF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p w:rsidR="00D67815" w:rsidRDefault="00D678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</w:rPr>
      </w:pPr>
    </w:p>
    <w:sectPr w:rsidR="00D67815" w:rsidSect="00F55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C62"/>
    <w:multiLevelType w:val="multilevel"/>
    <w:tmpl w:val="A88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B80827"/>
    <w:multiLevelType w:val="multilevel"/>
    <w:tmpl w:val="6D7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5212C"/>
    <w:multiLevelType w:val="multilevel"/>
    <w:tmpl w:val="7630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BC2A47"/>
    <w:multiLevelType w:val="multilevel"/>
    <w:tmpl w:val="5B1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17A0C"/>
    <w:multiLevelType w:val="hybridMultilevel"/>
    <w:tmpl w:val="5E50B0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B5C7D"/>
    <w:multiLevelType w:val="multilevel"/>
    <w:tmpl w:val="E7BC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716924"/>
    <w:multiLevelType w:val="hybridMultilevel"/>
    <w:tmpl w:val="CBC26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E26BD"/>
    <w:multiLevelType w:val="hybridMultilevel"/>
    <w:tmpl w:val="0102E4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956F9"/>
    <w:multiLevelType w:val="multilevel"/>
    <w:tmpl w:val="1AE2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DC2E44"/>
    <w:multiLevelType w:val="multilevel"/>
    <w:tmpl w:val="1F68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762D0E"/>
    <w:multiLevelType w:val="hybridMultilevel"/>
    <w:tmpl w:val="FBB01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27C54"/>
    <w:multiLevelType w:val="multilevel"/>
    <w:tmpl w:val="E7D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270BFE"/>
    <w:multiLevelType w:val="multilevel"/>
    <w:tmpl w:val="8B8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4369AD"/>
    <w:multiLevelType w:val="hybridMultilevel"/>
    <w:tmpl w:val="F536B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5AF0"/>
    <w:rsid w:val="000D3041"/>
    <w:rsid w:val="001E790A"/>
    <w:rsid w:val="00224971"/>
    <w:rsid w:val="002400CD"/>
    <w:rsid w:val="002E42A8"/>
    <w:rsid w:val="002E4C46"/>
    <w:rsid w:val="00457CB5"/>
    <w:rsid w:val="004C6472"/>
    <w:rsid w:val="004D1268"/>
    <w:rsid w:val="004F2491"/>
    <w:rsid w:val="00555252"/>
    <w:rsid w:val="005603DB"/>
    <w:rsid w:val="005F4923"/>
    <w:rsid w:val="00637438"/>
    <w:rsid w:val="006934BC"/>
    <w:rsid w:val="006D713F"/>
    <w:rsid w:val="007047C8"/>
    <w:rsid w:val="007171A4"/>
    <w:rsid w:val="00721ABE"/>
    <w:rsid w:val="00772243"/>
    <w:rsid w:val="00781595"/>
    <w:rsid w:val="00976CC7"/>
    <w:rsid w:val="009C1C41"/>
    <w:rsid w:val="00A65092"/>
    <w:rsid w:val="00A91460"/>
    <w:rsid w:val="00AD116E"/>
    <w:rsid w:val="00B25AF0"/>
    <w:rsid w:val="00B434E3"/>
    <w:rsid w:val="00B63FB8"/>
    <w:rsid w:val="00B6747A"/>
    <w:rsid w:val="00BD18E9"/>
    <w:rsid w:val="00C76A36"/>
    <w:rsid w:val="00CA518D"/>
    <w:rsid w:val="00D4484C"/>
    <w:rsid w:val="00D67815"/>
    <w:rsid w:val="00E00D84"/>
    <w:rsid w:val="00E2487C"/>
    <w:rsid w:val="00E5578D"/>
    <w:rsid w:val="00F55C78"/>
    <w:rsid w:val="00FE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78"/>
  </w:style>
  <w:style w:type="paragraph" w:styleId="2">
    <w:name w:val="heading 2"/>
    <w:basedOn w:val="a"/>
    <w:link w:val="2Char"/>
    <w:uiPriority w:val="9"/>
    <w:qFormat/>
    <w:rsid w:val="00B25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25A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2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B25AF0"/>
    <w:rPr>
      <w:color w:val="0000FF"/>
      <w:u w:val="single"/>
    </w:rPr>
  </w:style>
  <w:style w:type="character" w:customStyle="1" w:styleId="tocnumber">
    <w:name w:val="tocnumber"/>
    <w:basedOn w:val="a0"/>
    <w:rsid w:val="00B25AF0"/>
  </w:style>
  <w:style w:type="character" w:customStyle="1" w:styleId="toctext">
    <w:name w:val="toctext"/>
    <w:basedOn w:val="a0"/>
    <w:rsid w:val="00B25AF0"/>
  </w:style>
  <w:style w:type="character" w:customStyle="1" w:styleId="mw-headline">
    <w:name w:val="mw-headline"/>
    <w:basedOn w:val="a0"/>
    <w:rsid w:val="00B25AF0"/>
  </w:style>
  <w:style w:type="character" w:customStyle="1" w:styleId="mw-editsection">
    <w:name w:val="mw-editsection"/>
    <w:basedOn w:val="a0"/>
    <w:rsid w:val="00B25AF0"/>
  </w:style>
  <w:style w:type="character" w:customStyle="1" w:styleId="mw-editsection-bracket">
    <w:name w:val="mw-editsection-bracket"/>
    <w:basedOn w:val="a0"/>
    <w:rsid w:val="00B25AF0"/>
  </w:style>
  <w:style w:type="character" w:customStyle="1" w:styleId="mw-editsection-divider">
    <w:name w:val="mw-editsection-divider"/>
    <w:basedOn w:val="a0"/>
    <w:rsid w:val="00B25AF0"/>
  </w:style>
  <w:style w:type="paragraph" w:styleId="a3">
    <w:name w:val="List Paragraph"/>
    <w:basedOn w:val="a"/>
    <w:uiPriority w:val="34"/>
    <w:qFormat/>
    <w:rsid w:val="00D4484C"/>
    <w:pPr>
      <w:ind w:left="720"/>
      <w:contextualSpacing/>
    </w:pPr>
  </w:style>
  <w:style w:type="character" w:styleId="a4">
    <w:name w:val="Strong"/>
    <w:basedOn w:val="a0"/>
    <w:uiPriority w:val="22"/>
    <w:qFormat/>
    <w:rsid w:val="00704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011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.wikipedia.org/wiki/%CE%A0%CE%BF%CE%B9%CE%BD%CE%B9%CE%BA%CF%8C%CF%82_%CE%9A%CF%8E%CE%B4%CE%B9%CE%BA%CE%B1%CF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2021-03-01T08:27:00Z</dcterms:created>
  <dcterms:modified xsi:type="dcterms:W3CDTF">2021-03-02T18:37:00Z</dcterms:modified>
</cp:coreProperties>
</file>