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2DA" w:rsidRDefault="00C172A7" w:rsidP="005461F0">
      <w:pPr>
        <w:jc w:val="center"/>
        <w:rPr>
          <w:rFonts w:ascii="Bookman Old Style" w:hAnsi="Bookman Old Style"/>
          <w:b/>
          <w:sz w:val="28"/>
          <w:szCs w:val="28"/>
        </w:rPr>
      </w:pPr>
      <w:r w:rsidRPr="00C172A7">
        <w:rPr>
          <w:rFonts w:ascii="Bookman Old Style" w:hAnsi="Bookman Old Style"/>
          <w:b/>
          <w:sz w:val="28"/>
          <w:szCs w:val="28"/>
        </w:rPr>
        <w:t xml:space="preserve">ΣΗΜΕΙΩΣΕΙΣ </w:t>
      </w:r>
      <w:r w:rsidR="00BD40E7">
        <w:rPr>
          <w:rFonts w:ascii="Bookman Old Style" w:hAnsi="Bookman Old Style"/>
          <w:b/>
          <w:sz w:val="28"/>
          <w:szCs w:val="28"/>
        </w:rPr>
        <w:t>5</w:t>
      </w:r>
    </w:p>
    <w:p w:rsidR="00F14AE0" w:rsidRDefault="00F14AE0" w:rsidP="005461F0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F14AE0" w:rsidRPr="00C172A7" w:rsidRDefault="00F14AE0" w:rsidP="005461F0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Ι. Η ΠΡΑΞΗ</w:t>
      </w:r>
    </w:p>
    <w:p w:rsidR="005461F0" w:rsidRDefault="005461F0" w:rsidP="005461F0">
      <w:pPr>
        <w:spacing w:after="6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5461F0" w:rsidRDefault="005461F0" w:rsidP="005461F0">
      <w:pPr>
        <w:spacing w:after="6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5461F0">
        <w:rPr>
          <w:rFonts w:ascii="Bookman Old Style" w:eastAsia="Times New Roman" w:hAnsi="Bookman Old Style" w:cs="Times New Roman"/>
          <w:b/>
          <w:bCs/>
          <w:sz w:val="24"/>
          <w:szCs w:val="24"/>
        </w:rPr>
        <w:t>Άρθρο 14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Π.Κ</w:t>
      </w:r>
      <w:r w:rsidRPr="005461F0">
        <w:rPr>
          <w:rFonts w:ascii="Bookman Old Style" w:eastAsia="Times New Roman" w:hAnsi="Bookman Old Style" w:cs="Times New Roman"/>
          <w:b/>
          <w:bCs/>
          <w:sz w:val="24"/>
          <w:szCs w:val="24"/>
        </w:rPr>
        <w:t>. Έννοια της αξιόποινης πράξης.</w:t>
      </w:r>
    </w:p>
    <w:p w:rsidR="005461F0" w:rsidRPr="005461F0" w:rsidRDefault="005461F0" w:rsidP="005461F0">
      <w:pPr>
        <w:spacing w:after="6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5461F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«1.Έγκλημα είναι πράξη άδικη και </w:t>
      </w:r>
      <w:proofErr w:type="spellStart"/>
      <w:r w:rsidRPr="005461F0">
        <w:rPr>
          <w:rFonts w:ascii="Bookman Old Style" w:eastAsia="Times New Roman" w:hAnsi="Bookman Old Style" w:cs="Times New Roman"/>
          <w:b/>
          <w:bCs/>
          <w:sz w:val="24"/>
          <w:szCs w:val="24"/>
        </w:rPr>
        <w:t>καταλογιστή</w:t>
      </w:r>
      <w:proofErr w:type="spellEnd"/>
      <w:r w:rsidRPr="005461F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σε εκείνον που την τέλεσε, η οποία τιμωρείται από το νόμο. 2. Στις διατάξεις των ποινικών νόμων ο όρος «πράξη» περιλαμβάνει και τις παραλείψεις.»</w:t>
      </w:r>
    </w:p>
    <w:p w:rsidR="009A49F0" w:rsidRDefault="009A49F0">
      <w:pPr>
        <w:rPr>
          <w:rFonts w:ascii="Bookman Old Style" w:hAnsi="Bookman Old Style"/>
          <w:sz w:val="24"/>
          <w:szCs w:val="24"/>
        </w:rPr>
      </w:pPr>
    </w:p>
    <w:p w:rsidR="00C172A7" w:rsidRDefault="00C172A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Τα σταθερά μεγέθη του εγκλήματος:</w:t>
      </w:r>
    </w:p>
    <w:p w:rsidR="00C172A7" w:rsidRDefault="00C172A7">
      <w:pPr>
        <w:rPr>
          <w:rFonts w:ascii="Bookman Old Style" w:hAnsi="Bookman Old Style"/>
          <w:sz w:val="24"/>
          <w:szCs w:val="24"/>
        </w:rPr>
      </w:pPr>
      <w:r w:rsidRPr="009A49F0">
        <w:rPr>
          <w:rFonts w:ascii="Bookman Old Style" w:hAnsi="Bookman Old Style"/>
          <w:b/>
          <w:sz w:val="24"/>
          <w:szCs w:val="24"/>
        </w:rPr>
        <w:t>Α)</w:t>
      </w:r>
      <w:r>
        <w:rPr>
          <w:rFonts w:ascii="Bookman Old Style" w:hAnsi="Bookman Old Style"/>
          <w:sz w:val="24"/>
          <w:szCs w:val="24"/>
        </w:rPr>
        <w:t xml:space="preserve"> Υποκείμενο του εγκλήματος</w:t>
      </w:r>
    </w:p>
    <w:p w:rsidR="00C172A7" w:rsidRDefault="00C172A7">
      <w:pPr>
        <w:rPr>
          <w:rFonts w:ascii="Bookman Old Style" w:hAnsi="Bookman Old Style"/>
          <w:sz w:val="24"/>
          <w:szCs w:val="24"/>
        </w:rPr>
      </w:pPr>
      <w:r w:rsidRPr="009A49F0">
        <w:rPr>
          <w:rFonts w:ascii="Bookman Old Style" w:hAnsi="Bookman Old Style"/>
          <w:b/>
          <w:sz w:val="24"/>
          <w:szCs w:val="24"/>
        </w:rPr>
        <w:t>Β)</w:t>
      </w:r>
      <w:r>
        <w:rPr>
          <w:rFonts w:ascii="Bookman Old Style" w:hAnsi="Bookman Old Style"/>
          <w:sz w:val="24"/>
          <w:szCs w:val="24"/>
        </w:rPr>
        <w:t xml:space="preserve"> Αντικείμενο του εγκλήματος</w:t>
      </w:r>
    </w:p>
    <w:p w:rsidR="00C172A7" w:rsidRDefault="00C172A7">
      <w:pPr>
        <w:rPr>
          <w:rFonts w:ascii="Bookman Old Style" w:hAnsi="Bookman Old Style"/>
          <w:sz w:val="24"/>
          <w:szCs w:val="24"/>
        </w:rPr>
      </w:pPr>
      <w:r w:rsidRPr="009A49F0">
        <w:rPr>
          <w:rFonts w:ascii="Bookman Old Style" w:hAnsi="Bookman Old Style"/>
          <w:b/>
          <w:sz w:val="24"/>
          <w:szCs w:val="24"/>
        </w:rPr>
        <w:t>Γ)</w:t>
      </w:r>
      <w:r>
        <w:rPr>
          <w:rFonts w:ascii="Bookman Old Style" w:hAnsi="Bookman Old Style"/>
          <w:sz w:val="24"/>
          <w:szCs w:val="24"/>
        </w:rPr>
        <w:t xml:space="preserve"> Εγκληματική πράξη</w:t>
      </w:r>
    </w:p>
    <w:p w:rsidR="00C172A7" w:rsidRDefault="00C172A7">
      <w:pPr>
        <w:rPr>
          <w:rFonts w:ascii="Bookman Old Style" w:hAnsi="Bookman Old Style"/>
          <w:sz w:val="24"/>
          <w:szCs w:val="24"/>
        </w:rPr>
      </w:pPr>
      <w:r w:rsidRPr="009A49F0">
        <w:rPr>
          <w:rFonts w:ascii="Bookman Old Style" w:hAnsi="Bookman Old Style"/>
          <w:b/>
          <w:sz w:val="24"/>
          <w:szCs w:val="24"/>
        </w:rPr>
        <w:t>Δ)</w:t>
      </w:r>
      <w:r>
        <w:rPr>
          <w:rFonts w:ascii="Bookman Old Style" w:hAnsi="Bookman Old Style"/>
          <w:sz w:val="24"/>
          <w:szCs w:val="24"/>
        </w:rPr>
        <w:t xml:space="preserve"> Περιστάσεις υπό τις οποίες τελείται η εγκληματική πράξη και αφορούν τον τόπο, χρόνο, τρόπο και μέσα</w:t>
      </w:r>
    </w:p>
    <w:p w:rsidR="00C172A7" w:rsidRDefault="00C172A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Το Α και το Γ αποτελούν αναγκαία στοιχεία της έννοιας του εγκλήματος, ενώ μπορεί να υπάρχει έγκλημα χωρίς αντικείμενο και χωρίς να εξειδικεύεται η εγκληματική συμπεριφορά από συγκεκριμένες περιστάσεις. </w:t>
      </w:r>
    </w:p>
    <w:p w:rsidR="00C172A7" w:rsidRDefault="00C172A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="00C76072" w:rsidRPr="009A49F0">
        <w:rPr>
          <w:rFonts w:ascii="Bookman Old Style" w:hAnsi="Bookman Old Style"/>
          <w:b/>
          <w:sz w:val="24"/>
          <w:szCs w:val="24"/>
        </w:rPr>
        <w:t>Α)</w:t>
      </w:r>
      <w:r w:rsidR="00C76072">
        <w:rPr>
          <w:rFonts w:ascii="Bookman Old Style" w:hAnsi="Bookman Old Style"/>
          <w:sz w:val="24"/>
          <w:szCs w:val="24"/>
        </w:rPr>
        <w:t xml:space="preserve"> </w:t>
      </w:r>
      <w:r w:rsidRPr="009A49F0">
        <w:rPr>
          <w:rFonts w:ascii="Bookman Old Style" w:hAnsi="Bookman Old Style"/>
          <w:i/>
          <w:sz w:val="24"/>
          <w:szCs w:val="24"/>
          <w:u w:val="single"/>
        </w:rPr>
        <w:t>Υποκείμενο του εγκλήματος</w:t>
      </w:r>
      <w:r>
        <w:rPr>
          <w:rFonts w:ascii="Bookman Old Style" w:hAnsi="Bookman Old Style"/>
          <w:sz w:val="24"/>
          <w:szCs w:val="24"/>
        </w:rPr>
        <w:t xml:space="preserve"> μπορεί να είναι ο καθένας = ΚΟΙΝΑ εγκλήματα.</w:t>
      </w:r>
    </w:p>
    <w:p w:rsidR="00C172A7" w:rsidRDefault="00C172A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Όταν υποκείμενο μπορεί να είναι μόνο πρόσωπο υπό συγκεκριμένες ιδιότητες ή σχέσεις (π.χ. υπάλληλος στο έγκλημα της δωροληψίας άρθ. 235 Π.Κ.) = ΙΔΙΑΙΤΕΡΑ εγκλήματα</w:t>
      </w:r>
    </w:p>
    <w:p w:rsidR="009A49F0" w:rsidRDefault="00C76072">
      <w:pPr>
        <w:rPr>
          <w:rFonts w:ascii="Bookman Old Style" w:hAnsi="Bookman Old Style"/>
          <w:sz w:val="24"/>
          <w:szCs w:val="24"/>
        </w:rPr>
      </w:pPr>
      <w:r w:rsidRPr="009A49F0">
        <w:rPr>
          <w:rFonts w:ascii="Bookman Old Style" w:hAnsi="Bookman Old Style"/>
          <w:b/>
          <w:sz w:val="24"/>
          <w:szCs w:val="24"/>
        </w:rPr>
        <w:t>Β)</w:t>
      </w:r>
      <w:r>
        <w:rPr>
          <w:rFonts w:ascii="Bookman Old Style" w:hAnsi="Bookman Old Style"/>
          <w:sz w:val="24"/>
          <w:szCs w:val="24"/>
          <w:u w:val="single"/>
        </w:rPr>
        <w:t xml:space="preserve"> </w:t>
      </w:r>
      <w:r w:rsidR="00667F06" w:rsidRPr="009A49F0">
        <w:rPr>
          <w:rFonts w:ascii="Bookman Old Style" w:hAnsi="Bookman Old Style"/>
          <w:i/>
          <w:sz w:val="24"/>
          <w:szCs w:val="24"/>
          <w:u w:val="single"/>
        </w:rPr>
        <w:t>Αντικείμενο του εγκλήματος</w:t>
      </w:r>
      <w:r w:rsidR="00667F06">
        <w:rPr>
          <w:rFonts w:ascii="Bookman Old Style" w:hAnsi="Bookman Old Style"/>
          <w:sz w:val="24"/>
          <w:szCs w:val="24"/>
        </w:rPr>
        <w:t xml:space="preserve"> είναι το υλικό αντικείμενο, στο οποίο συγκεκριμενοποιείται το έννομο αγαθό </w:t>
      </w:r>
      <w:r w:rsidR="009A49F0">
        <w:rPr>
          <w:rFonts w:ascii="Bookman Old Style" w:hAnsi="Bookman Old Style"/>
          <w:sz w:val="24"/>
          <w:szCs w:val="24"/>
        </w:rPr>
        <w:t>που προσβάλλεται, δηλ. π.χ. ένα ξένο κινητό πράγμα</w:t>
      </w:r>
      <w:r w:rsidR="00667F06">
        <w:rPr>
          <w:rFonts w:ascii="Bookman Old Style" w:hAnsi="Bookman Old Style"/>
          <w:sz w:val="24"/>
          <w:szCs w:val="24"/>
        </w:rPr>
        <w:t>.</w:t>
      </w:r>
    </w:p>
    <w:p w:rsidR="00667F06" w:rsidRDefault="00667F06">
      <w:pPr>
        <w:rPr>
          <w:rFonts w:ascii="Bookman Old Style" w:hAnsi="Bookman Old Style" w:cs="Arial"/>
          <w:shd w:val="clear" w:color="auto" w:fill="F8F8F8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="009A49F0">
        <w:rPr>
          <w:rFonts w:ascii="Bookman Old Style" w:hAnsi="Bookman Old Style"/>
          <w:sz w:val="24"/>
          <w:szCs w:val="24"/>
        </w:rPr>
        <w:t>Υ</w:t>
      </w:r>
      <w:r>
        <w:rPr>
          <w:rFonts w:ascii="Bookman Old Style" w:hAnsi="Bookman Old Style"/>
          <w:sz w:val="24"/>
          <w:szCs w:val="24"/>
        </w:rPr>
        <w:t xml:space="preserve">πάρχουν εγκληματικές πράξεις χωρίς αντικείμενο π.χ. ψευδής κατάθεση άρθ. 224 Π.Κ. </w:t>
      </w:r>
      <w:r w:rsidR="002B56D7" w:rsidRPr="002B56D7">
        <w:rPr>
          <w:rFonts w:ascii="Bookman Old Style" w:hAnsi="Bookman Old Style"/>
          <w:sz w:val="24"/>
          <w:szCs w:val="24"/>
        </w:rPr>
        <w:t>(</w:t>
      </w:r>
      <w:r w:rsidR="002B56D7" w:rsidRPr="002B56D7">
        <w:rPr>
          <w:rFonts w:ascii="Bookman Old Style" w:hAnsi="Bookman Old Style" w:cs="Arial"/>
          <w:shd w:val="clear" w:color="auto" w:fill="F8F8F8"/>
        </w:rPr>
        <w:t>1. Όποιος, ενώ εξετάζεται ως διάδικος ή μάρτυρας σε δικαστήριο ή ενώπιον αρχής αρμόδιας να ενεργεί εξέταση για την κρινόμενη υπόθεση, εν γνώσει του καταθέτει ψευδή στοιχεία σχετικά με την υπόθεση αυτή ή αρνείται ή αποκρύπτει την αλήθεια, τιμωρείται με φυλάκιση τουλάχιστον τριών μηνών έως τρία έτη και χρηματική ποινή</w:t>
      </w:r>
      <w:r w:rsidR="002B56D7">
        <w:rPr>
          <w:rFonts w:ascii="Bookman Old Style" w:hAnsi="Bookman Old Style" w:cs="Arial"/>
          <w:shd w:val="clear" w:color="auto" w:fill="F8F8F8"/>
        </w:rPr>
        <w:t>…</w:t>
      </w:r>
      <w:r w:rsidR="002B56D7" w:rsidRPr="002B56D7">
        <w:rPr>
          <w:rFonts w:ascii="Bookman Old Style" w:hAnsi="Bookman Old Style" w:cs="Arial"/>
          <w:shd w:val="clear" w:color="auto" w:fill="F8F8F8"/>
        </w:rPr>
        <w:t>).</w:t>
      </w:r>
    </w:p>
    <w:p w:rsidR="002B56D7" w:rsidRPr="00936097" w:rsidRDefault="00704F66">
      <w:pPr>
        <w:rPr>
          <w:rFonts w:ascii="Bookman Old Style" w:hAnsi="Bookman Old Style" w:cs="Arial"/>
          <w:sz w:val="24"/>
          <w:szCs w:val="24"/>
          <w:u w:val="single"/>
          <w:shd w:val="clear" w:color="auto" w:fill="F8F8F8"/>
        </w:rPr>
      </w:pPr>
      <w:r w:rsidRPr="00936097">
        <w:rPr>
          <w:rFonts w:ascii="Bookman Old Style" w:hAnsi="Bookman Old Style" w:cs="Arial"/>
          <w:sz w:val="24"/>
          <w:szCs w:val="24"/>
          <w:u w:val="single"/>
          <w:shd w:val="clear" w:color="auto" w:fill="F8F8F8"/>
        </w:rPr>
        <w:lastRenderedPageBreak/>
        <w:t>«Ο παθών»</w:t>
      </w:r>
      <w:r w:rsidRPr="00704F66">
        <w:rPr>
          <w:rFonts w:ascii="Bookman Old Style" w:hAnsi="Bookman Old Style" w:cs="Arial"/>
          <w:sz w:val="24"/>
          <w:szCs w:val="24"/>
          <w:shd w:val="clear" w:color="auto" w:fill="F8F8F8"/>
        </w:rPr>
        <w:t xml:space="preserve"> είναι </w:t>
      </w:r>
      <w:r>
        <w:rPr>
          <w:rFonts w:ascii="Bookman Old Style" w:hAnsi="Bookman Old Style" w:cs="Arial"/>
          <w:sz w:val="24"/>
          <w:szCs w:val="24"/>
          <w:shd w:val="clear" w:color="auto" w:fill="F8F8F8"/>
        </w:rPr>
        <w:t xml:space="preserve">ο φορέας του έννομου αγαθού που προσβάλλεται με την εγκληματική πράξη, δηλ. κάθε φυσικό ή νομικό πρόσωπο, κατά του οποίου στρέφεται η πράξη και ο οποίος μπορεί να καταγγείλει την αξιόποινη πράξη που τον έβλαψε </w:t>
      </w:r>
      <w:r w:rsidRPr="00936097">
        <w:rPr>
          <w:rFonts w:ascii="Bookman Old Style" w:hAnsi="Bookman Old Style" w:cs="Arial"/>
          <w:sz w:val="24"/>
          <w:szCs w:val="24"/>
          <w:u w:val="single"/>
          <w:shd w:val="clear" w:color="auto" w:fill="F8F8F8"/>
        </w:rPr>
        <w:t>(έγκληση).</w:t>
      </w:r>
    </w:p>
    <w:p w:rsidR="00704F66" w:rsidRPr="00936097" w:rsidRDefault="00704F66">
      <w:pPr>
        <w:rPr>
          <w:rFonts w:ascii="Bookman Old Style" w:hAnsi="Bookman Old Style" w:cs="Arial"/>
          <w:sz w:val="24"/>
          <w:szCs w:val="24"/>
          <w:u w:val="single"/>
          <w:shd w:val="clear" w:color="auto" w:fill="F8F8F8"/>
        </w:rPr>
      </w:pPr>
      <w:r w:rsidRPr="00936097">
        <w:rPr>
          <w:rFonts w:ascii="Bookman Old Style" w:hAnsi="Bookman Old Style" w:cs="Arial"/>
          <w:sz w:val="24"/>
          <w:szCs w:val="24"/>
          <w:u w:val="single"/>
          <w:shd w:val="clear" w:color="auto" w:fill="F8F8F8"/>
        </w:rPr>
        <w:t>Υπάρχουν εγκλήματα που διώκονται μόνο κατ’ έγκληση, δηλαδή μόνο μετά από καταγγελία του παθόντος (π.χ. φθορά ξένης ιδιοκτησίας) και υπάρχει και η γενικότερη αρχή της αυτεπάγγελτης δίωξης των εγκλημάτων.</w:t>
      </w:r>
    </w:p>
    <w:p w:rsidR="00704F66" w:rsidRDefault="00704F66">
      <w:pPr>
        <w:rPr>
          <w:rFonts w:ascii="Bookman Old Style" w:hAnsi="Bookman Old Style" w:cs="Arial"/>
          <w:sz w:val="24"/>
          <w:szCs w:val="24"/>
          <w:shd w:val="clear" w:color="auto" w:fill="F8F8F8"/>
        </w:rPr>
      </w:pPr>
      <w:r>
        <w:rPr>
          <w:rFonts w:ascii="Bookman Old Style" w:hAnsi="Bookman Old Style" w:cs="Arial"/>
          <w:sz w:val="24"/>
          <w:szCs w:val="24"/>
          <w:shd w:val="clear" w:color="auto" w:fill="F8F8F8"/>
        </w:rPr>
        <w:t>Σε κάποιες περιπτώσεις, η συναίνεση του ή η συγκατάθεση του παθόντος αίρει τον άδικο χαρακτήρα της πράξης (θα αναλυθεί σε επόμενο μάθημα).</w:t>
      </w:r>
    </w:p>
    <w:p w:rsidR="00704F66" w:rsidRDefault="00C76072">
      <w:pPr>
        <w:rPr>
          <w:rFonts w:ascii="Bookman Old Style" w:hAnsi="Bookman Old Style" w:cs="Arial"/>
          <w:sz w:val="24"/>
          <w:szCs w:val="24"/>
          <w:u w:val="single"/>
          <w:shd w:val="clear" w:color="auto" w:fill="F8F8F8"/>
        </w:rPr>
      </w:pPr>
      <w:r w:rsidRPr="009A49F0">
        <w:rPr>
          <w:rFonts w:ascii="Bookman Old Style" w:hAnsi="Bookman Old Style" w:cs="Arial"/>
          <w:b/>
          <w:sz w:val="24"/>
          <w:szCs w:val="24"/>
          <w:shd w:val="clear" w:color="auto" w:fill="F8F8F8"/>
        </w:rPr>
        <w:t>Γ)</w:t>
      </w:r>
      <w:r>
        <w:rPr>
          <w:rFonts w:ascii="Bookman Old Style" w:hAnsi="Bookman Old Style" w:cs="Arial"/>
          <w:sz w:val="24"/>
          <w:szCs w:val="24"/>
          <w:shd w:val="clear" w:color="auto" w:fill="F8F8F8"/>
        </w:rPr>
        <w:t xml:space="preserve"> </w:t>
      </w:r>
      <w:r w:rsidR="00704F66">
        <w:rPr>
          <w:rFonts w:ascii="Bookman Old Style" w:hAnsi="Bookman Old Style" w:cs="Arial"/>
          <w:sz w:val="24"/>
          <w:szCs w:val="24"/>
          <w:shd w:val="clear" w:color="auto" w:fill="F8F8F8"/>
        </w:rPr>
        <w:t xml:space="preserve"> </w:t>
      </w:r>
      <w:r w:rsidR="00704F66" w:rsidRPr="009A49F0">
        <w:rPr>
          <w:rFonts w:ascii="Bookman Old Style" w:hAnsi="Bookman Old Style" w:cs="Arial"/>
          <w:i/>
          <w:sz w:val="24"/>
          <w:szCs w:val="24"/>
          <w:u w:val="single"/>
          <w:shd w:val="clear" w:color="auto" w:fill="F8F8F8"/>
        </w:rPr>
        <w:t xml:space="preserve">Η εγκληματική πράξη </w:t>
      </w:r>
      <w:r w:rsidR="00512B16" w:rsidRPr="009A49F0">
        <w:rPr>
          <w:rFonts w:ascii="Bookman Old Style" w:hAnsi="Bookman Old Style" w:cs="Arial"/>
          <w:i/>
          <w:sz w:val="24"/>
          <w:szCs w:val="24"/>
          <w:u w:val="single"/>
          <w:shd w:val="clear" w:color="auto" w:fill="F8F8F8"/>
        </w:rPr>
        <w:t>–</w:t>
      </w:r>
      <w:r w:rsidR="00704F66" w:rsidRPr="009A49F0">
        <w:rPr>
          <w:rFonts w:ascii="Bookman Old Style" w:hAnsi="Bookman Old Style" w:cs="Arial"/>
          <w:i/>
          <w:sz w:val="24"/>
          <w:szCs w:val="24"/>
          <w:u w:val="single"/>
          <w:shd w:val="clear" w:color="auto" w:fill="F8F8F8"/>
        </w:rPr>
        <w:t xml:space="preserve"> συμπεριφορά</w:t>
      </w:r>
    </w:p>
    <w:p w:rsidR="00512B16" w:rsidRDefault="00512B16" w:rsidP="008D7512">
      <w:pPr>
        <w:pStyle w:val="a3"/>
        <w:numPr>
          <w:ilvl w:val="0"/>
          <w:numId w:val="2"/>
        </w:numPr>
        <w:ind w:left="0" w:firstLine="0"/>
        <w:rPr>
          <w:rFonts w:ascii="Bookman Old Style" w:hAnsi="Bookman Old Style" w:cs="Arial"/>
          <w:sz w:val="24"/>
          <w:szCs w:val="24"/>
          <w:shd w:val="clear" w:color="auto" w:fill="F8F8F8"/>
        </w:rPr>
      </w:pPr>
      <w:r w:rsidRPr="00512B16">
        <w:rPr>
          <w:rFonts w:ascii="Bookman Old Style" w:hAnsi="Bookman Old Style" w:cs="Arial"/>
          <w:sz w:val="24"/>
          <w:szCs w:val="24"/>
          <w:shd w:val="clear" w:color="auto" w:fill="F8F8F8"/>
        </w:rPr>
        <w:t xml:space="preserve">Εγκλήματα συμπεριφοράς (αυτά που δεν έχουν αντικείμενο)  </w:t>
      </w:r>
    </w:p>
    <w:p w:rsidR="00512B16" w:rsidRPr="00512B16" w:rsidRDefault="00512B16" w:rsidP="008D7512">
      <w:pPr>
        <w:pStyle w:val="a3"/>
        <w:numPr>
          <w:ilvl w:val="0"/>
          <w:numId w:val="2"/>
        </w:numPr>
        <w:ind w:left="0" w:firstLine="0"/>
        <w:rPr>
          <w:rFonts w:ascii="Bookman Old Style" w:hAnsi="Bookman Old Style" w:cs="Arial"/>
          <w:sz w:val="24"/>
          <w:szCs w:val="24"/>
          <w:shd w:val="clear" w:color="auto" w:fill="F8F8F8"/>
        </w:rPr>
      </w:pPr>
      <w:r w:rsidRPr="00512B16">
        <w:rPr>
          <w:rFonts w:ascii="Bookman Old Style" w:hAnsi="Bookman Old Style" w:cs="Arial"/>
          <w:sz w:val="24"/>
          <w:szCs w:val="24"/>
          <w:shd w:val="clear" w:color="auto" w:fill="F8F8F8"/>
        </w:rPr>
        <w:t>Εγκλήματα αποτελέσματος (αυτά που έχουν υλικό αντικείμενο)</w:t>
      </w:r>
      <w:r w:rsidR="008D7512">
        <w:rPr>
          <w:rFonts w:ascii="Bookman Old Style" w:hAnsi="Bookman Old Style" w:cs="Arial"/>
          <w:sz w:val="24"/>
          <w:szCs w:val="24"/>
          <w:shd w:val="clear" w:color="auto" w:fill="F8F8F8"/>
        </w:rPr>
        <w:t xml:space="preserve"> που μπορούν ν</w:t>
      </w:r>
      <w:r w:rsidR="009A49F0">
        <w:rPr>
          <w:rFonts w:ascii="Bookman Old Style" w:hAnsi="Bookman Old Style" w:cs="Arial"/>
          <w:sz w:val="24"/>
          <w:szCs w:val="24"/>
          <w:shd w:val="clear" w:color="auto" w:fill="F8F8F8"/>
        </w:rPr>
        <w:t>α</w:t>
      </w:r>
      <w:r w:rsidR="008D7512">
        <w:rPr>
          <w:rFonts w:ascii="Bookman Old Style" w:hAnsi="Bookman Old Style" w:cs="Arial"/>
          <w:sz w:val="24"/>
          <w:szCs w:val="24"/>
          <w:shd w:val="clear" w:color="auto" w:fill="F8F8F8"/>
        </w:rPr>
        <w:t xml:space="preserve"> είναι ε</w:t>
      </w:r>
      <w:r w:rsidRPr="00512B16">
        <w:rPr>
          <w:rFonts w:ascii="Bookman Old Style" w:hAnsi="Bookman Old Style" w:cs="Arial"/>
          <w:sz w:val="24"/>
          <w:szCs w:val="24"/>
          <w:shd w:val="clear" w:color="auto" w:fill="F8F8F8"/>
        </w:rPr>
        <w:t xml:space="preserve">γκλήματα βλάβης </w:t>
      </w:r>
      <w:r w:rsidR="008D7512">
        <w:rPr>
          <w:rFonts w:ascii="Bookman Old Style" w:hAnsi="Bookman Old Style" w:cs="Arial"/>
          <w:sz w:val="24"/>
          <w:szCs w:val="24"/>
          <w:shd w:val="clear" w:color="auto" w:fill="F8F8F8"/>
        </w:rPr>
        <w:t>ή</w:t>
      </w:r>
      <w:r w:rsidRPr="00512B16">
        <w:rPr>
          <w:rFonts w:ascii="Bookman Old Style" w:hAnsi="Bookman Old Style" w:cs="Arial"/>
          <w:sz w:val="24"/>
          <w:szCs w:val="24"/>
          <w:shd w:val="clear" w:color="auto" w:fill="F8F8F8"/>
        </w:rPr>
        <w:t xml:space="preserve"> εγκλήματα διακινδύνευσης </w:t>
      </w:r>
    </w:p>
    <w:p w:rsidR="00512B16" w:rsidRDefault="00512B16" w:rsidP="008D7512">
      <w:pPr>
        <w:pStyle w:val="a3"/>
        <w:numPr>
          <w:ilvl w:val="0"/>
          <w:numId w:val="2"/>
        </w:numPr>
        <w:ind w:left="0" w:firstLine="0"/>
        <w:rPr>
          <w:rFonts w:ascii="Bookman Old Style" w:hAnsi="Bookman Old Style" w:cs="Arial"/>
          <w:sz w:val="24"/>
          <w:szCs w:val="24"/>
          <w:shd w:val="clear" w:color="auto" w:fill="F8F8F8"/>
        </w:rPr>
      </w:pPr>
      <w:r w:rsidRPr="00512B16">
        <w:rPr>
          <w:rFonts w:ascii="Bookman Old Style" w:hAnsi="Bookman Old Style" w:cs="Arial"/>
          <w:sz w:val="24"/>
          <w:szCs w:val="24"/>
          <w:shd w:val="clear" w:color="auto" w:fill="F8F8F8"/>
        </w:rPr>
        <w:t>Εγκλήματα ενέργειας και εγκλήματα παραλείψεως</w:t>
      </w:r>
    </w:p>
    <w:p w:rsidR="008D7512" w:rsidRDefault="008D7512" w:rsidP="008D7512">
      <w:pPr>
        <w:pStyle w:val="a3"/>
        <w:numPr>
          <w:ilvl w:val="0"/>
          <w:numId w:val="2"/>
        </w:numPr>
        <w:ind w:left="0" w:firstLine="0"/>
        <w:rPr>
          <w:rFonts w:ascii="Bookman Old Style" w:hAnsi="Bookman Old Style" w:cs="Arial"/>
          <w:sz w:val="24"/>
          <w:szCs w:val="24"/>
          <w:shd w:val="clear" w:color="auto" w:fill="F8F8F8"/>
        </w:rPr>
      </w:pPr>
      <w:r>
        <w:rPr>
          <w:rFonts w:ascii="Bookman Old Style" w:hAnsi="Bookman Old Style" w:cs="Arial"/>
          <w:sz w:val="24"/>
          <w:szCs w:val="24"/>
          <w:shd w:val="clear" w:color="auto" w:fill="F8F8F8"/>
        </w:rPr>
        <w:t>Εγκλήματα στ</w:t>
      </w:r>
      <w:r w:rsidR="0079161C">
        <w:rPr>
          <w:rFonts w:ascii="Bookman Old Style" w:hAnsi="Bookman Old Style" w:cs="Arial"/>
          <w:sz w:val="24"/>
          <w:szCs w:val="24"/>
          <w:shd w:val="clear" w:color="auto" w:fill="F8F8F8"/>
        </w:rPr>
        <w:t>ιγμιαία (π.χ. κλοπή) και εγκλήματα διαρκή (π.χ. διατάραξη οικιακής ειρήνης)</w:t>
      </w:r>
    </w:p>
    <w:p w:rsidR="00A87B0F" w:rsidRDefault="0079161C" w:rsidP="008D7512">
      <w:pPr>
        <w:pStyle w:val="a3"/>
        <w:numPr>
          <w:ilvl w:val="0"/>
          <w:numId w:val="2"/>
        </w:numPr>
        <w:ind w:left="0" w:firstLine="0"/>
        <w:rPr>
          <w:rFonts w:ascii="Bookman Old Style" w:hAnsi="Bookman Old Style" w:cs="Arial"/>
          <w:sz w:val="24"/>
          <w:szCs w:val="24"/>
          <w:shd w:val="clear" w:color="auto" w:fill="F8F8F8"/>
        </w:rPr>
      </w:pPr>
      <w:r>
        <w:rPr>
          <w:rFonts w:ascii="Bookman Old Style" w:hAnsi="Bookman Old Style" w:cs="Arial"/>
          <w:sz w:val="24"/>
          <w:szCs w:val="24"/>
          <w:shd w:val="clear" w:color="auto" w:fill="F8F8F8"/>
        </w:rPr>
        <w:t xml:space="preserve">Εγκλήματα απλά (πραγματοποιούνται είτε με μία πράξη είτε με πολλές (π.χ. </w:t>
      </w:r>
      <w:r w:rsidR="00A87B0F">
        <w:rPr>
          <w:rFonts w:ascii="Bookman Old Style" w:hAnsi="Bookman Old Style" w:cs="Arial"/>
          <w:sz w:val="24"/>
          <w:szCs w:val="24"/>
          <w:shd w:val="clear" w:color="auto" w:fill="F8F8F8"/>
        </w:rPr>
        <w:t xml:space="preserve">ανθρωποκτονία με πυροβολισμό </w:t>
      </w:r>
      <w:r>
        <w:rPr>
          <w:rFonts w:ascii="Bookman Old Style" w:hAnsi="Bookman Old Style" w:cs="Arial"/>
          <w:sz w:val="24"/>
          <w:szCs w:val="24"/>
          <w:shd w:val="clear" w:color="auto" w:fill="F8F8F8"/>
        </w:rPr>
        <w:t xml:space="preserve">ή με δόσεις </w:t>
      </w:r>
      <w:r w:rsidR="00A87B0F">
        <w:rPr>
          <w:rFonts w:ascii="Bookman Old Style" w:hAnsi="Bookman Old Style" w:cs="Arial"/>
          <w:sz w:val="24"/>
          <w:szCs w:val="24"/>
          <w:shd w:val="clear" w:color="auto" w:fill="F8F8F8"/>
        </w:rPr>
        <w:t xml:space="preserve">θανατηφόρου </w:t>
      </w:r>
      <w:r>
        <w:rPr>
          <w:rFonts w:ascii="Bookman Old Style" w:hAnsi="Bookman Old Style" w:cs="Arial"/>
          <w:sz w:val="24"/>
          <w:szCs w:val="24"/>
          <w:shd w:val="clear" w:color="auto" w:fill="F8F8F8"/>
        </w:rPr>
        <w:t xml:space="preserve">δηλητηρίου ) και εγκλήματα σύνθετα, στα οποία πρέπει να υπάρξουν συνδυαστικά περισσότερες πράξεις εκ του νόμου (π.χ. </w:t>
      </w:r>
      <w:r w:rsidR="00A87B0F">
        <w:rPr>
          <w:rFonts w:ascii="Bookman Old Style" w:hAnsi="Bookman Old Style" w:cs="Arial"/>
          <w:sz w:val="24"/>
          <w:szCs w:val="24"/>
          <w:shd w:val="clear" w:color="auto" w:fill="F8F8F8"/>
        </w:rPr>
        <w:t>ληστεία όπου πρέπει να συνυπάρχουν η σωματική βία με την αφαίρεση κινητού πράγματος)</w:t>
      </w:r>
    </w:p>
    <w:p w:rsidR="0079161C" w:rsidRPr="00512B16" w:rsidRDefault="00A87B0F" w:rsidP="008D7512">
      <w:pPr>
        <w:pStyle w:val="a3"/>
        <w:numPr>
          <w:ilvl w:val="0"/>
          <w:numId w:val="2"/>
        </w:numPr>
        <w:ind w:left="0" w:firstLine="0"/>
        <w:rPr>
          <w:rFonts w:ascii="Bookman Old Style" w:hAnsi="Bookman Old Style" w:cs="Arial"/>
          <w:sz w:val="24"/>
          <w:szCs w:val="24"/>
          <w:shd w:val="clear" w:color="auto" w:fill="F8F8F8"/>
        </w:rPr>
      </w:pPr>
      <w:r>
        <w:rPr>
          <w:rFonts w:ascii="Bookman Old Style" w:hAnsi="Bookman Old Style" w:cs="Arial"/>
          <w:sz w:val="24"/>
          <w:szCs w:val="24"/>
          <w:shd w:val="clear" w:color="auto" w:fill="F8F8F8"/>
        </w:rPr>
        <w:t xml:space="preserve">Εγκλήματα </w:t>
      </w:r>
      <w:proofErr w:type="spellStart"/>
      <w:r>
        <w:rPr>
          <w:rFonts w:ascii="Bookman Old Style" w:hAnsi="Bookman Old Style" w:cs="Arial"/>
          <w:sz w:val="24"/>
          <w:szCs w:val="24"/>
          <w:shd w:val="clear" w:color="auto" w:fill="F8F8F8"/>
        </w:rPr>
        <w:t>απλ</w:t>
      </w:r>
      <w:r w:rsidR="007C2842">
        <w:rPr>
          <w:rFonts w:ascii="Bookman Old Style" w:hAnsi="Bookman Old Style" w:cs="Arial"/>
          <w:sz w:val="24"/>
          <w:szCs w:val="24"/>
          <w:shd w:val="clear" w:color="auto" w:fill="F8F8F8"/>
        </w:rPr>
        <w:t>ότροπα</w:t>
      </w:r>
      <w:proofErr w:type="spellEnd"/>
      <w:r w:rsidR="007C2842">
        <w:rPr>
          <w:rFonts w:ascii="Bookman Old Style" w:hAnsi="Bookman Old Style" w:cs="Arial"/>
          <w:sz w:val="24"/>
          <w:szCs w:val="24"/>
          <w:shd w:val="clear" w:color="auto" w:fill="F8F8F8"/>
        </w:rPr>
        <w:t xml:space="preserve"> - απλά</w:t>
      </w:r>
      <w:r>
        <w:rPr>
          <w:rFonts w:ascii="Bookman Old Style" w:hAnsi="Bookman Old Style" w:cs="Arial"/>
          <w:sz w:val="24"/>
          <w:szCs w:val="24"/>
          <w:shd w:val="clear" w:color="auto" w:fill="F8F8F8"/>
        </w:rPr>
        <w:t>, στα οποία ο νόμος δεν εξειδικεύει τον τρόπο τέλεσης του εγκλήματος (π.χ. ανθρωποκτονία)</w:t>
      </w:r>
      <w:r w:rsidR="0079161C">
        <w:rPr>
          <w:rFonts w:ascii="Bookman Old Style" w:hAnsi="Bookman Old Style" w:cs="Arial"/>
          <w:sz w:val="24"/>
          <w:szCs w:val="24"/>
          <w:shd w:val="clear" w:color="auto" w:fill="F8F8F8"/>
        </w:rPr>
        <w:t xml:space="preserve"> </w:t>
      </w:r>
      <w:r>
        <w:rPr>
          <w:rFonts w:ascii="Bookman Old Style" w:hAnsi="Bookman Old Style" w:cs="Arial"/>
          <w:sz w:val="24"/>
          <w:szCs w:val="24"/>
          <w:shd w:val="clear" w:color="auto" w:fill="F8F8F8"/>
        </w:rPr>
        <w:t xml:space="preserve">και εγκλήματα </w:t>
      </w:r>
      <w:r w:rsidR="007C2842">
        <w:rPr>
          <w:rFonts w:ascii="Bookman Old Style" w:hAnsi="Bookman Old Style" w:cs="Arial"/>
          <w:sz w:val="24"/>
          <w:szCs w:val="24"/>
          <w:shd w:val="clear" w:color="auto" w:fill="F8F8F8"/>
        </w:rPr>
        <w:t xml:space="preserve">πολύτροπα - </w:t>
      </w:r>
      <w:r>
        <w:rPr>
          <w:rFonts w:ascii="Bookman Old Style" w:hAnsi="Bookman Old Style" w:cs="Arial"/>
          <w:sz w:val="24"/>
          <w:szCs w:val="24"/>
          <w:shd w:val="clear" w:color="auto" w:fill="F8F8F8"/>
        </w:rPr>
        <w:t>μεικτά, στα οποία εξειδικεύεται ο τρόπος τέλεσης (π.χ. η σωματική βλάβη μπορεί να τελεσθεί είτε με σωματική κάκωση, είτε με βλάβη της υγείας)</w:t>
      </w:r>
    </w:p>
    <w:p w:rsidR="00512B16" w:rsidRPr="00512B16" w:rsidRDefault="00512B16" w:rsidP="00512B16">
      <w:pPr>
        <w:rPr>
          <w:rFonts w:ascii="Bookman Old Style" w:hAnsi="Bookman Old Style" w:cs="Arial"/>
          <w:sz w:val="24"/>
          <w:szCs w:val="24"/>
          <w:shd w:val="clear" w:color="auto" w:fill="F8F8F8"/>
        </w:rPr>
      </w:pPr>
    </w:p>
    <w:p w:rsidR="00C76072" w:rsidRDefault="00C76072" w:rsidP="00C76072">
      <w:pPr>
        <w:rPr>
          <w:rFonts w:ascii="Bookman Old Style" w:hAnsi="Bookman Old Style"/>
          <w:sz w:val="24"/>
          <w:szCs w:val="24"/>
        </w:rPr>
      </w:pPr>
      <w:r w:rsidRPr="009A49F0">
        <w:rPr>
          <w:rFonts w:ascii="Bookman Old Style" w:hAnsi="Bookman Old Style"/>
          <w:b/>
          <w:sz w:val="24"/>
          <w:szCs w:val="24"/>
        </w:rPr>
        <w:t>Δ)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9A49F0">
        <w:rPr>
          <w:rFonts w:ascii="Bookman Old Style" w:hAnsi="Bookman Old Style"/>
          <w:i/>
          <w:sz w:val="24"/>
          <w:szCs w:val="24"/>
          <w:u w:val="single"/>
        </w:rPr>
        <w:t>Περιστάσεις υπό τις οποίες τελείται η εγκληματική πράξη και αφορούν τον τόπο, χρόνο, τρόπο και μέσα</w:t>
      </w:r>
    </w:p>
    <w:p w:rsidR="0035066B" w:rsidRDefault="0035066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Αυτές μπορούν να αφορούν </w:t>
      </w:r>
      <w:r w:rsidR="009A49F0">
        <w:rPr>
          <w:rFonts w:ascii="Bookman Old Style" w:hAnsi="Bookman Old Style"/>
          <w:sz w:val="24"/>
          <w:szCs w:val="24"/>
        </w:rPr>
        <w:t>:</w:t>
      </w:r>
    </w:p>
    <w:p w:rsidR="00C76072" w:rsidRDefault="00305C0F">
      <w:pPr>
        <w:rPr>
          <w:rFonts w:ascii="Bookman Old Style" w:hAnsi="Bookman Old Style"/>
          <w:sz w:val="24"/>
          <w:szCs w:val="24"/>
        </w:rPr>
      </w:pPr>
      <w:r w:rsidRPr="009A49F0">
        <w:rPr>
          <w:rFonts w:ascii="Bookman Old Style" w:hAnsi="Bookman Old Style"/>
          <w:sz w:val="24"/>
          <w:szCs w:val="24"/>
          <w:u w:val="single"/>
        </w:rPr>
        <w:t>Ι</w:t>
      </w:r>
      <w:r w:rsidR="0035066B" w:rsidRPr="009A49F0">
        <w:rPr>
          <w:rFonts w:ascii="Bookman Old Style" w:hAnsi="Bookman Old Style"/>
          <w:sz w:val="24"/>
          <w:szCs w:val="24"/>
          <w:u w:val="single"/>
        </w:rPr>
        <w:t>) στον χρόνο τέλεσης της πράξης</w:t>
      </w:r>
      <w:r w:rsidR="0035066B">
        <w:rPr>
          <w:rFonts w:ascii="Bookman Old Style" w:hAnsi="Bookman Old Style"/>
          <w:sz w:val="24"/>
          <w:szCs w:val="24"/>
        </w:rPr>
        <w:t xml:space="preserve">  (π.χ. άρθρο 143 Π.Κ. «Έλληνας πολίτης, ο οποίος σε καιρό πολέμου κατά του ελληνικού κράτους υπηρετεί στον στρατό του εχθρού ή παίρνει όπλα κατά τη ελληνικής πολιτείας …»)</w:t>
      </w:r>
    </w:p>
    <w:p w:rsidR="0035066B" w:rsidRDefault="00305C0F">
      <w:pPr>
        <w:rPr>
          <w:rFonts w:ascii="Bookman Old Style" w:hAnsi="Bookman Old Style"/>
          <w:sz w:val="24"/>
          <w:szCs w:val="24"/>
        </w:rPr>
      </w:pPr>
      <w:r w:rsidRPr="009A49F0">
        <w:rPr>
          <w:rFonts w:ascii="Bookman Old Style" w:hAnsi="Bookman Old Style"/>
          <w:sz w:val="24"/>
          <w:szCs w:val="24"/>
          <w:u w:val="single"/>
        </w:rPr>
        <w:lastRenderedPageBreak/>
        <w:t>ΙΙ</w:t>
      </w:r>
      <w:r w:rsidR="0035066B" w:rsidRPr="009A49F0">
        <w:rPr>
          <w:rFonts w:ascii="Bookman Old Style" w:hAnsi="Bookman Old Style"/>
          <w:sz w:val="24"/>
          <w:szCs w:val="24"/>
          <w:u w:val="single"/>
        </w:rPr>
        <w:t>) στον τόπο της συμπεριφοράς</w:t>
      </w:r>
      <w:r w:rsidR="0035066B">
        <w:rPr>
          <w:rFonts w:ascii="Bookman Old Style" w:hAnsi="Bookman Old Style"/>
          <w:sz w:val="24"/>
          <w:szCs w:val="24"/>
        </w:rPr>
        <w:t xml:space="preserve"> (π.χ. άρθρο 200 παρ. 2 Π.Κ. «Με την ίδια ποινή τιμωρείται όποιος μέσα σε εκκλησία ή σε τόπο προορισμένο για θρησκευτική συνάθροιση ανεκτή κατά το πολίτευμα ενεργεί υβριστικά παράνομες πράξεις)</w:t>
      </w:r>
    </w:p>
    <w:p w:rsidR="0035066B" w:rsidRDefault="00305C0F">
      <w:pPr>
        <w:rPr>
          <w:rFonts w:ascii="Bookman Old Style" w:hAnsi="Bookman Old Style"/>
          <w:sz w:val="24"/>
          <w:szCs w:val="24"/>
        </w:rPr>
      </w:pPr>
      <w:r w:rsidRPr="009A49F0">
        <w:rPr>
          <w:rFonts w:ascii="Bookman Old Style" w:hAnsi="Bookman Old Style"/>
          <w:sz w:val="24"/>
          <w:szCs w:val="24"/>
          <w:u w:val="single"/>
        </w:rPr>
        <w:t>ΙΙΙ</w:t>
      </w:r>
      <w:r w:rsidR="0035066B" w:rsidRPr="009A49F0">
        <w:rPr>
          <w:rFonts w:ascii="Bookman Old Style" w:hAnsi="Bookman Old Style"/>
          <w:sz w:val="24"/>
          <w:szCs w:val="24"/>
          <w:u w:val="single"/>
        </w:rPr>
        <w:t>) στο μέσο της ενέργειας</w:t>
      </w:r>
      <w:r w:rsidR="0035066B">
        <w:rPr>
          <w:rFonts w:ascii="Bookman Old Style" w:hAnsi="Bookman Old Style"/>
          <w:sz w:val="24"/>
          <w:szCs w:val="24"/>
        </w:rPr>
        <w:t xml:space="preserve"> (π.χ. άρθρο 270 Π.Κ. « Όποιος προξενεί έκρηξη με οποιονδήποτε τρόπο και ιδίως με την χρήση εκρηκτικών υλών τιμωρείται …»)</w:t>
      </w:r>
    </w:p>
    <w:p w:rsidR="00305C0F" w:rsidRDefault="00305C0F">
      <w:pPr>
        <w:rPr>
          <w:rFonts w:ascii="Bookman Old Style" w:hAnsi="Bookman Old Style"/>
          <w:sz w:val="24"/>
          <w:szCs w:val="24"/>
        </w:rPr>
      </w:pPr>
      <w:r w:rsidRPr="009A49F0">
        <w:rPr>
          <w:rFonts w:ascii="Bookman Old Style" w:hAnsi="Bookman Old Style"/>
          <w:sz w:val="24"/>
          <w:szCs w:val="24"/>
          <w:u w:val="single"/>
        </w:rPr>
        <w:t>Ι</w:t>
      </w:r>
      <w:r w:rsidRPr="009A49F0">
        <w:rPr>
          <w:rFonts w:ascii="Bookman Old Style" w:hAnsi="Bookman Old Style"/>
          <w:sz w:val="24"/>
          <w:szCs w:val="24"/>
          <w:u w:val="single"/>
          <w:lang w:val="en-US"/>
        </w:rPr>
        <w:t>V</w:t>
      </w:r>
      <w:r w:rsidR="0035066B" w:rsidRPr="009A49F0">
        <w:rPr>
          <w:rFonts w:ascii="Bookman Old Style" w:hAnsi="Bookman Old Style"/>
          <w:sz w:val="24"/>
          <w:szCs w:val="24"/>
          <w:u w:val="single"/>
        </w:rPr>
        <w:t>) στον τρόπο της συμπεριφοράς</w:t>
      </w:r>
      <w:r w:rsidR="0035066B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(π.χ. άρθρο 322 Π.Κ. «Όποιος με εξαπάτηση, βία ή απειλή βίας συλλαμβάνει, απάγει ή παράνομα κατακρατεί άλλον…»)</w:t>
      </w:r>
    </w:p>
    <w:p w:rsidR="00305C0F" w:rsidRDefault="00305C0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Με βάση τις παραπάνω περιστάσεις τα εγκλήματα διακρίνονται σε </w:t>
      </w:r>
    </w:p>
    <w:p w:rsidR="004C4DBC" w:rsidRDefault="00305C0F">
      <w:pPr>
        <w:rPr>
          <w:rFonts w:ascii="Bookman Old Style" w:hAnsi="Bookman Old Style"/>
          <w:sz w:val="24"/>
          <w:szCs w:val="24"/>
        </w:rPr>
      </w:pPr>
      <w:r w:rsidRPr="009A49F0">
        <w:rPr>
          <w:rFonts w:ascii="Bookman Old Style" w:hAnsi="Bookman Old Style"/>
          <w:sz w:val="24"/>
          <w:szCs w:val="24"/>
          <w:u w:val="single"/>
        </w:rPr>
        <w:t>ι)</w:t>
      </w:r>
      <w:r w:rsidR="004C4DBC" w:rsidRPr="009A49F0">
        <w:rPr>
          <w:rFonts w:ascii="Bookman Old Style" w:hAnsi="Bookman Old Style"/>
          <w:sz w:val="24"/>
          <w:szCs w:val="24"/>
          <w:u w:val="single"/>
        </w:rPr>
        <w:t xml:space="preserve"> βασικά</w:t>
      </w:r>
      <w:r w:rsidR="004C4DBC">
        <w:rPr>
          <w:rFonts w:ascii="Bookman Old Style" w:hAnsi="Bookman Old Style"/>
          <w:sz w:val="24"/>
          <w:szCs w:val="24"/>
        </w:rPr>
        <w:t xml:space="preserve"> π.χ. άρθρο 372.- Κλοπή «Όποιος αφαιρεί ξένο κινητό πράγμα από την κατοχή άλλου με σκοπό να το ιδιοποιηθεί παράνομα, τιμωρείται με φυλάκιση έως τρία έτη ή χρηματική ποινή …»  </w:t>
      </w:r>
    </w:p>
    <w:p w:rsidR="00C34319" w:rsidRDefault="00305C0F">
      <w:pPr>
        <w:rPr>
          <w:rFonts w:ascii="Bookman Old Style" w:hAnsi="Bookman Old Style"/>
          <w:sz w:val="24"/>
          <w:szCs w:val="24"/>
        </w:rPr>
      </w:pPr>
      <w:proofErr w:type="spellStart"/>
      <w:r w:rsidRPr="009A49F0">
        <w:rPr>
          <w:rFonts w:ascii="Bookman Old Style" w:hAnsi="Bookman Old Style"/>
          <w:sz w:val="24"/>
          <w:szCs w:val="24"/>
          <w:u w:val="single"/>
        </w:rPr>
        <w:t>ιι</w:t>
      </w:r>
      <w:proofErr w:type="spellEnd"/>
      <w:r w:rsidRPr="009A49F0">
        <w:rPr>
          <w:rFonts w:ascii="Bookman Old Style" w:hAnsi="Bookman Old Style"/>
          <w:sz w:val="24"/>
          <w:szCs w:val="24"/>
          <w:u w:val="single"/>
        </w:rPr>
        <w:t xml:space="preserve">) προνομιούχα </w:t>
      </w:r>
      <w:r w:rsidR="004C4DBC" w:rsidRPr="009A49F0">
        <w:rPr>
          <w:rFonts w:ascii="Bookman Old Style" w:hAnsi="Bookman Old Style"/>
          <w:sz w:val="24"/>
          <w:szCs w:val="24"/>
          <w:u w:val="single"/>
        </w:rPr>
        <w:t xml:space="preserve">(προς το ηπιότερο) </w:t>
      </w:r>
      <w:r w:rsidRPr="009A49F0">
        <w:rPr>
          <w:rFonts w:ascii="Bookman Old Style" w:hAnsi="Bookman Old Style"/>
          <w:sz w:val="24"/>
          <w:szCs w:val="24"/>
          <w:u w:val="single"/>
        </w:rPr>
        <w:t>ή διακεκριμένα</w:t>
      </w:r>
      <w:r w:rsidR="004C4DBC" w:rsidRPr="009A49F0">
        <w:rPr>
          <w:rFonts w:ascii="Bookman Old Style" w:hAnsi="Bookman Old Style"/>
          <w:sz w:val="24"/>
          <w:szCs w:val="24"/>
          <w:u w:val="single"/>
        </w:rPr>
        <w:t xml:space="preserve"> (προς το αυστηρότερο)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4C4DBC">
        <w:rPr>
          <w:rFonts w:ascii="Bookman Old Style" w:hAnsi="Bookman Old Style"/>
          <w:sz w:val="24"/>
          <w:szCs w:val="24"/>
        </w:rPr>
        <w:t xml:space="preserve">π.χ. </w:t>
      </w:r>
      <w:r w:rsidR="00C34319">
        <w:rPr>
          <w:rFonts w:ascii="Bookman Old Style" w:hAnsi="Bookman Old Style"/>
          <w:sz w:val="24"/>
          <w:szCs w:val="24"/>
        </w:rPr>
        <w:t xml:space="preserve">άρθρο 377 .- Κλοπή και υπεξαίρεση μικρής αξίας «Αν τα εγκλήματα των άρθρων 372, 374 παρ. 1 … έχουν αντικείμενο πράγμα μικρής αξίας, </w:t>
      </w:r>
      <w:r w:rsidR="009A49F0">
        <w:rPr>
          <w:rFonts w:ascii="Bookman Old Style" w:hAnsi="Bookman Old Style"/>
          <w:sz w:val="24"/>
          <w:szCs w:val="24"/>
        </w:rPr>
        <w:t>ε</w:t>
      </w:r>
      <w:r w:rsidR="00C34319">
        <w:rPr>
          <w:rFonts w:ascii="Bookman Old Style" w:hAnsi="Bookman Old Style"/>
          <w:sz w:val="24"/>
          <w:szCs w:val="24"/>
        </w:rPr>
        <w:t xml:space="preserve">πιβάλλεται χρηματική ποινή ή …» και </w:t>
      </w:r>
    </w:p>
    <w:p w:rsidR="004C4DBC" w:rsidRDefault="004C4DB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άρθρο 374.- Διακεκριμένη κλοπή «Η κλοπή τιμωρείται με κάθειρξη έως δέκα έτη και χρηματική ποινή αν α) ο υπαίτιος αφαιρεί από τόπο προορισμένο για θρησκευτική λατρεία, πράγμα αφιερωμένο σε αυτή καλλιτεχνικής ή αρχαιολογικής ή ιστορικής σημασίας, β) …)</w:t>
      </w:r>
      <w:r w:rsidR="00C34319">
        <w:rPr>
          <w:rFonts w:ascii="Bookman Old Style" w:hAnsi="Bookman Old Style"/>
          <w:sz w:val="24"/>
          <w:szCs w:val="24"/>
        </w:rPr>
        <w:t xml:space="preserve"> αντίστοιχα</w:t>
      </w:r>
    </w:p>
    <w:p w:rsidR="00C34319" w:rsidRDefault="00305C0F">
      <w:pPr>
        <w:rPr>
          <w:rFonts w:ascii="Bookman Old Style" w:hAnsi="Bookman Old Style"/>
          <w:sz w:val="24"/>
          <w:szCs w:val="24"/>
        </w:rPr>
      </w:pPr>
      <w:proofErr w:type="spellStart"/>
      <w:r w:rsidRPr="009A49F0">
        <w:rPr>
          <w:rFonts w:ascii="Bookman Old Style" w:hAnsi="Bookman Old Style"/>
          <w:sz w:val="24"/>
          <w:szCs w:val="24"/>
          <w:u w:val="single"/>
        </w:rPr>
        <w:t>ιιι</w:t>
      </w:r>
      <w:proofErr w:type="spellEnd"/>
      <w:r w:rsidRPr="009A49F0">
        <w:rPr>
          <w:rFonts w:ascii="Bookman Old Style" w:hAnsi="Bookman Old Style"/>
          <w:sz w:val="24"/>
          <w:szCs w:val="24"/>
          <w:u w:val="single"/>
        </w:rPr>
        <w:t>) ιδιώνυμα</w:t>
      </w:r>
      <w:r w:rsidR="00C34319">
        <w:rPr>
          <w:rFonts w:ascii="Bookman Old Style" w:hAnsi="Bookman Old Style"/>
          <w:sz w:val="24"/>
          <w:szCs w:val="24"/>
        </w:rPr>
        <w:t xml:space="preserve">, όταν οι ιδιάζουσες περιστάσεις υπό τις οποίες προβλέπεται η βασική εγκληματική συμπεριφορά επηρεάζουν τόσο βαθιά την </w:t>
      </w:r>
      <w:proofErr w:type="spellStart"/>
      <w:r w:rsidR="00C34319">
        <w:rPr>
          <w:rFonts w:ascii="Bookman Old Style" w:hAnsi="Bookman Old Style"/>
          <w:sz w:val="24"/>
          <w:szCs w:val="24"/>
        </w:rPr>
        <w:t>ηθικοκοινωνική</w:t>
      </w:r>
      <w:proofErr w:type="spellEnd"/>
      <w:r w:rsidR="00C34319">
        <w:rPr>
          <w:rFonts w:ascii="Bookman Old Style" w:hAnsi="Bookman Old Style"/>
          <w:sz w:val="24"/>
          <w:szCs w:val="24"/>
        </w:rPr>
        <w:t xml:space="preserve"> της απαξία, ώστε δεν έχουμε απλώς μια κλιμάκωση του </w:t>
      </w:r>
      <w:r w:rsidR="009A49F0">
        <w:rPr>
          <w:rFonts w:ascii="Bookman Old Style" w:hAnsi="Bookman Old Style"/>
          <w:sz w:val="24"/>
          <w:szCs w:val="24"/>
        </w:rPr>
        <w:t xml:space="preserve">βασικού </w:t>
      </w:r>
      <w:r w:rsidR="00C34319">
        <w:rPr>
          <w:rFonts w:ascii="Bookman Old Style" w:hAnsi="Bookman Old Style"/>
          <w:sz w:val="24"/>
          <w:szCs w:val="24"/>
        </w:rPr>
        <w:t>εγκλήματος</w:t>
      </w:r>
      <w:r w:rsidR="009A49F0">
        <w:rPr>
          <w:rFonts w:ascii="Bookman Old Style" w:hAnsi="Bookman Old Style"/>
          <w:sz w:val="24"/>
          <w:szCs w:val="24"/>
        </w:rPr>
        <w:t>,</w:t>
      </w:r>
      <w:r w:rsidR="00C34319">
        <w:rPr>
          <w:rFonts w:ascii="Bookman Old Style" w:hAnsi="Bookman Old Style"/>
          <w:sz w:val="24"/>
          <w:szCs w:val="24"/>
        </w:rPr>
        <w:t xml:space="preserve"> αλλά διαφορετική εγκληματική πράξη, συγγενή μεν, αλλά αυτοτελή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35066B">
        <w:rPr>
          <w:rFonts w:ascii="Bookman Old Style" w:hAnsi="Bookman Old Style"/>
          <w:sz w:val="24"/>
          <w:szCs w:val="24"/>
        </w:rPr>
        <w:t xml:space="preserve"> </w:t>
      </w:r>
      <w:r w:rsidR="004C4DBC">
        <w:rPr>
          <w:rFonts w:ascii="Bookman Old Style" w:hAnsi="Bookman Old Style"/>
          <w:sz w:val="24"/>
          <w:szCs w:val="24"/>
        </w:rPr>
        <w:t>π.χ.</w:t>
      </w:r>
      <w:r w:rsidR="00C34319">
        <w:rPr>
          <w:rFonts w:ascii="Bookman Old Style" w:hAnsi="Bookman Old Style"/>
          <w:sz w:val="24"/>
          <w:szCs w:val="24"/>
        </w:rPr>
        <w:t xml:space="preserve"> άρθρο 312 Π.Κ. Σωματική βλάβη αδύναμων ατόμων.</w:t>
      </w:r>
    </w:p>
    <w:p w:rsidR="008C59B6" w:rsidRDefault="004C4DBC" w:rsidP="009A49F0">
      <w:pPr>
        <w:rPr>
          <w:rFonts w:ascii="Bookman Old Style" w:hAnsi="Bookman Old Style"/>
          <w:b/>
          <w:sz w:val="24"/>
          <w:szCs w:val="24"/>
        </w:rPr>
      </w:pPr>
      <w:r w:rsidRPr="009A49F0">
        <w:rPr>
          <w:rFonts w:ascii="Bookman Old Style" w:hAnsi="Bookman Old Style"/>
          <w:b/>
          <w:sz w:val="24"/>
          <w:szCs w:val="24"/>
        </w:rPr>
        <w:t xml:space="preserve"> </w:t>
      </w:r>
    </w:p>
    <w:p w:rsidR="009A49F0" w:rsidRPr="009A49F0" w:rsidRDefault="009A49F0" w:rsidP="009A49F0">
      <w:pPr>
        <w:rPr>
          <w:rFonts w:ascii="Bookman Old Style" w:hAnsi="Bookman Old Style"/>
          <w:b/>
          <w:sz w:val="24"/>
          <w:szCs w:val="24"/>
        </w:rPr>
      </w:pPr>
      <w:r w:rsidRPr="009A49F0">
        <w:rPr>
          <w:rFonts w:ascii="Bookman Old Style" w:hAnsi="Bookman Old Style"/>
          <w:b/>
          <w:sz w:val="24"/>
          <w:szCs w:val="24"/>
        </w:rPr>
        <w:t>Τα δια παραλείψεως τελούμενα εγκλήματα</w:t>
      </w:r>
    </w:p>
    <w:p w:rsidR="009A49F0" w:rsidRPr="009A49F0" w:rsidRDefault="009A49F0" w:rsidP="009A49F0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Bookman Old Style" w:hAnsi="Bookman Old Style" w:cs="Lucida Sans Unicode"/>
        </w:rPr>
      </w:pPr>
      <w:r w:rsidRPr="009A49F0">
        <w:rPr>
          <w:rStyle w:val="a4"/>
          <w:rFonts w:ascii="Bookman Old Style" w:hAnsi="Bookman Old Style" w:cs="Lucida Sans Unicode"/>
          <w:b w:val="0"/>
          <w:bdr w:val="none" w:sz="0" w:space="0" w:color="auto" w:frame="1"/>
        </w:rPr>
        <w:t>Άρθρο 15 Π.Κ. Έγκλημα που τελείται με παράλειψη</w:t>
      </w:r>
    </w:p>
    <w:p w:rsidR="009A49F0" w:rsidRPr="009A49F0" w:rsidRDefault="009A49F0" w:rsidP="009A49F0">
      <w:pPr>
        <w:pStyle w:val="Web"/>
        <w:shd w:val="clear" w:color="auto" w:fill="FFFFFF"/>
        <w:spacing w:before="195" w:beforeAutospacing="0" w:after="195" w:afterAutospacing="0"/>
        <w:jc w:val="both"/>
        <w:textAlignment w:val="baseline"/>
        <w:rPr>
          <w:rFonts w:ascii="Bookman Old Style" w:hAnsi="Bookman Old Style" w:cs="Lucida Sans Unicode"/>
        </w:rPr>
      </w:pPr>
      <w:r w:rsidRPr="009A49F0">
        <w:rPr>
          <w:rFonts w:ascii="Bookman Old Style" w:hAnsi="Bookman Old Style" w:cs="Lucida Sans Unicode"/>
        </w:rPr>
        <w:t>1. Όπου ο νόμος για την ύπαρξη αξιόποινης πράξης απαιτεί να έχει επέλθει ορισμένο αποτέλεσμα, η μη αποτροπή του τιμωρείται όπως η πρόκλησή του με ενέργεια, αν ο υπαίτιος της παράλειψης είχε ιδιαίτερη νομική υποχρέωση να προβεί σε ενέργεια για την αποτροπή του αποτελέσματος. Η ιδιαίτερη νομική υποχρέωση πηγάζει από νόμο, σύμβαση ή προηγούμενη επικίνδυνη ενέργεια του υπαιτίου.</w:t>
      </w:r>
    </w:p>
    <w:p w:rsidR="009A49F0" w:rsidRPr="009A49F0" w:rsidRDefault="009A49F0" w:rsidP="009A49F0">
      <w:pPr>
        <w:pStyle w:val="Web"/>
        <w:shd w:val="clear" w:color="auto" w:fill="FFFFFF"/>
        <w:spacing w:before="195" w:beforeAutospacing="0" w:after="195" w:afterAutospacing="0"/>
        <w:jc w:val="both"/>
        <w:textAlignment w:val="baseline"/>
        <w:rPr>
          <w:rFonts w:ascii="Bookman Old Style" w:hAnsi="Bookman Old Style" w:cs="Lucida Sans Unicode"/>
        </w:rPr>
      </w:pPr>
      <w:r w:rsidRPr="009A49F0">
        <w:rPr>
          <w:rFonts w:ascii="Bookman Old Style" w:hAnsi="Bookman Old Style" w:cs="Lucida Sans Unicode"/>
        </w:rPr>
        <w:lastRenderedPageBreak/>
        <w:t>2. Στις περιπτώσεις των εγκλημάτων με παράλειψη ο δικαστής μπορεί να επιβάλει μειωμένη ποινή (άρθρο 83)».</w:t>
      </w:r>
    </w:p>
    <w:p w:rsidR="0035066B" w:rsidRDefault="009A49F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Η ιδιαίτερη νομική υποχρέωση πηγάζει από νόμο:</w:t>
      </w:r>
    </w:p>
    <w:p w:rsidR="00D25BA1" w:rsidRDefault="009A49F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Εδώ </w:t>
      </w:r>
      <w:r w:rsidRPr="00D25BA1">
        <w:rPr>
          <w:rFonts w:ascii="Bookman Old Style" w:hAnsi="Bookman Old Style"/>
          <w:sz w:val="24"/>
          <w:szCs w:val="24"/>
          <w:u w:val="single"/>
        </w:rPr>
        <w:t>«ο νόμος»</w:t>
      </w:r>
      <w:r>
        <w:rPr>
          <w:rFonts w:ascii="Bookman Old Style" w:hAnsi="Bookman Old Style"/>
          <w:sz w:val="24"/>
          <w:szCs w:val="24"/>
        </w:rPr>
        <w:t xml:space="preserve"> εννοείται το σύνολο του δημόσιου και ιδιωτικού δικαίου, περιλαμβανομένου και του εθιμικού.</w:t>
      </w:r>
      <w:r w:rsidR="00BD40E7">
        <w:rPr>
          <w:rFonts w:ascii="Bookman Old Style" w:hAnsi="Bookman Old Style"/>
          <w:sz w:val="24"/>
          <w:szCs w:val="24"/>
        </w:rPr>
        <w:t xml:space="preserve"> </w:t>
      </w:r>
      <w:r w:rsidR="00D25BA1">
        <w:rPr>
          <w:rFonts w:ascii="Bookman Old Style" w:hAnsi="Bookman Old Style"/>
          <w:sz w:val="24"/>
          <w:szCs w:val="24"/>
        </w:rPr>
        <w:t>Π.χ. οι κανόνες του οικογενειακού δικαίου οι οποίοι αφορούν την υποχρέωση προς διατροφή του τέκνου, προς επιμέλεια ή προς διοίκηση της περιουσίας του προς όφελός του.</w:t>
      </w:r>
    </w:p>
    <w:p w:rsidR="00D25BA1" w:rsidRDefault="00D25BA1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«Η σύμβαση» δηλαδή η συμφωνία όπως ορίζεται από το ιδιωτικό δίκαιο και αφορά στην πραγματική ανάληψη των συμφωνημένων καθηκόντων. Π.χ.  η γυναίκα που αναλαμβάνει τη φύλαξη ξένου παιδιού ή φροντίδα ηλικιωμένου, ο δάσκαλος μπάσκετ που αναλαμβάνει την εκγύμναση ατόμων στο συγκεκριμένο άθλημα, ο γιατρός που αναλαμβάνει την θεραπεία ασθενή, ο δικηγόρος που αναλαμβάνει τον χειρισμό μιας υπόθεσης.</w:t>
      </w:r>
    </w:p>
    <w:p w:rsidR="006F6B6B" w:rsidRDefault="00D25BA1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«Η προηγούμενη επικίνδυνη ενέργεια» πρέπει να είναι σε υψηλό βαθμό επικίνδυνη, δηλαδή να θεμελιώνει πολύ πιθανό κίνδυνο επέλευσης του εγκληματικού αποτελέσματος (δηλαδή τέτοια ενέργεια δεν είναι η πώληση του Α στον Β ενός μαχαιριού με το οποίο ο Β τραυμάτισε κάποιον, αλλά π.χ. η εκσκαφή ενός λάκκου στον δρόμο για δημοτικά έργα, χωρίς ειδική σήμανση</w:t>
      </w:r>
      <w:r w:rsidR="006F6B6B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προειδοποιητικά σήματα</w:t>
      </w:r>
      <w:r w:rsidR="006F6B6B">
        <w:rPr>
          <w:rFonts w:ascii="Bookman Old Style" w:hAnsi="Bookman Old Style"/>
          <w:sz w:val="24"/>
          <w:szCs w:val="24"/>
        </w:rPr>
        <w:t xml:space="preserve"> και εμπόδια προσέγγισης)</w:t>
      </w:r>
    </w:p>
    <w:p w:rsidR="001D710A" w:rsidRDefault="001D710A">
      <w:pPr>
        <w:rPr>
          <w:rFonts w:ascii="Bookman Old Style" w:hAnsi="Bookman Old Style"/>
          <w:sz w:val="24"/>
          <w:szCs w:val="24"/>
        </w:rPr>
      </w:pPr>
    </w:p>
    <w:p w:rsidR="00BD40E7" w:rsidRDefault="00BD40E7">
      <w:pPr>
        <w:rPr>
          <w:rFonts w:ascii="Bookman Old Style" w:hAnsi="Bookman Old Style"/>
          <w:sz w:val="24"/>
          <w:szCs w:val="24"/>
        </w:rPr>
      </w:pPr>
    </w:p>
    <w:p w:rsidR="00BD40E7" w:rsidRDefault="00BD40E7">
      <w:pPr>
        <w:rPr>
          <w:rFonts w:ascii="Bookman Old Style" w:hAnsi="Bookman Old Style"/>
          <w:sz w:val="24"/>
          <w:szCs w:val="24"/>
        </w:rPr>
      </w:pPr>
    </w:p>
    <w:p w:rsidR="00BD40E7" w:rsidRDefault="00BD40E7">
      <w:pPr>
        <w:rPr>
          <w:rFonts w:ascii="Bookman Old Style" w:hAnsi="Bookman Old Style"/>
          <w:sz w:val="24"/>
          <w:szCs w:val="24"/>
        </w:rPr>
      </w:pPr>
    </w:p>
    <w:p w:rsidR="00BD40E7" w:rsidRDefault="00BD40E7">
      <w:pPr>
        <w:rPr>
          <w:rFonts w:ascii="Bookman Old Style" w:hAnsi="Bookman Old Style"/>
          <w:sz w:val="24"/>
          <w:szCs w:val="24"/>
        </w:rPr>
      </w:pPr>
    </w:p>
    <w:p w:rsidR="00BD40E7" w:rsidRDefault="00BD40E7">
      <w:pPr>
        <w:rPr>
          <w:rFonts w:ascii="Bookman Old Style" w:hAnsi="Bookman Old Style"/>
          <w:sz w:val="24"/>
          <w:szCs w:val="24"/>
        </w:rPr>
      </w:pPr>
    </w:p>
    <w:p w:rsidR="00BD40E7" w:rsidRDefault="00BD40E7">
      <w:pPr>
        <w:rPr>
          <w:rFonts w:ascii="Bookman Old Style" w:hAnsi="Bookman Old Style"/>
          <w:sz w:val="24"/>
          <w:szCs w:val="24"/>
        </w:rPr>
      </w:pPr>
    </w:p>
    <w:p w:rsidR="00BD40E7" w:rsidRDefault="00BD40E7">
      <w:pPr>
        <w:rPr>
          <w:rFonts w:ascii="Bookman Old Style" w:hAnsi="Bookman Old Style"/>
          <w:sz w:val="24"/>
          <w:szCs w:val="24"/>
        </w:rPr>
      </w:pPr>
    </w:p>
    <w:p w:rsidR="00BD40E7" w:rsidRDefault="00BD40E7">
      <w:pPr>
        <w:rPr>
          <w:rFonts w:ascii="Bookman Old Style" w:hAnsi="Bookman Old Style"/>
          <w:sz w:val="24"/>
          <w:szCs w:val="24"/>
        </w:rPr>
      </w:pPr>
    </w:p>
    <w:p w:rsidR="00BD40E7" w:rsidRDefault="00BD40E7">
      <w:pPr>
        <w:rPr>
          <w:rFonts w:ascii="Bookman Old Style" w:hAnsi="Bookman Old Style"/>
          <w:sz w:val="24"/>
          <w:szCs w:val="24"/>
        </w:rPr>
      </w:pPr>
    </w:p>
    <w:p w:rsidR="00BD40E7" w:rsidRDefault="00BD40E7">
      <w:pPr>
        <w:rPr>
          <w:rFonts w:ascii="Bookman Old Style" w:hAnsi="Bookman Old Style"/>
          <w:sz w:val="24"/>
          <w:szCs w:val="24"/>
        </w:rPr>
      </w:pPr>
    </w:p>
    <w:p w:rsidR="00BD40E7" w:rsidRDefault="00BD40E7">
      <w:pPr>
        <w:rPr>
          <w:rFonts w:ascii="Bookman Old Style" w:hAnsi="Bookman Old Style"/>
          <w:sz w:val="24"/>
          <w:szCs w:val="24"/>
        </w:rPr>
      </w:pPr>
    </w:p>
    <w:sectPr w:rsidR="00BD40E7" w:rsidSect="000572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52DC5"/>
    <w:multiLevelType w:val="hybridMultilevel"/>
    <w:tmpl w:val="50E284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97DD6"/>
    <w:multiLevelType w:val="hybridMultilevel"/>
    <w:tmpl w:val="09D48064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E941088"/>
    <w:multiLevelType w:val="hybridMultilevel"/>
    <w:tmpl w:val="15FE05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7B0CA7"/>
    <w:multiLevelType w:val="hybridMultilevel"/>
    <w:tmpl w:val="42B8134A"/>
    <w:lvl w:ilvl="0" w:tplc="87844294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614951"/>
    <w:multiLevelType w:val="hybridMultilevel"/>
    <w:tmpl w:val="C062E926"/>
    <w:lvl w:ilvl="0" w:tplc="1F289DC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A74542A"/>
    <w:multiLevelType w:val="hybridMultilevel"/>
    <w:tmpl w:val="088A11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B224D7"/>
    <w:multiLevelType w:val="hybridMultilevel"/>
    <w:tmpl w:val="68865B5C"/>
    <w:lvl w:ilvl="0" w:tplc="F6EA09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5B244D3D"/>
    <w:multiLevelType w:val="hybridMultilevel"/>
    <w:tmpl w:val="A024F1F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DB34CAD"/>
    <w:multiLevelType w:val="hybridMultilevel"/>
    <w:tmpl w:val="98DA6C74"/>
    <w:lvl w:ilvl="0" w:tplc="0F8E3E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7DD36BB5"/>
    <w:multiLevelType w:val="hybridMultilevel"/>
    <w:tmpl w:val="74AE9F08"/>
    <w:lvl w:ilvl="0" w:tplc="0408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172A7"/>
    <w:rsid w:val="00036EBE"/>
    <w:rsid w:val="000572DA"/>
    <w:rsid w:val="001D710A"/>
    <w:rsid w:val="002B56D7"/>
    <w:rsid w:val="003005CD"/>
    <w:rsid w:val="003054EE"/>
    <w:rsid w:val="00305C0F"/>
    <w:rsid w:val="003108B8"/>
    <w:rsid w:val="00315C38"/>
    <w:rsid w:val="0035066B"/>
    <w:rsid w:val="003537F4"/>
    <w:rsid w:val="00405AB3"/>
    <w:rsid w:val="004B21DA"/>
    <w:rsid w:val="004C4DBC"/>
    <w:rsid w:val="00512B16"/>
    <w:rsid w:val="005461F0"/>
    <w:rsid w:val="00667F06"/>
    <w:rsid w:val="006F6B6B"/>
    <w:rsid w:val="00704F66"/>
    <w:rsid w:val="007614B7"/>
    <w:rsid w:val="0079161C"/>
    <w:rsid w:val="00794599"/>
    <w:rsid w:val="007C2842"/>
    <w:rsid w:val="008151FA"/>
    <w:rsid w:val="00871828"/>
    <w:rsid w:val="00873EA6"/>
    <w:rsid w:val="008C243D"/>
    <w:rsid w:val="008C59B6"/>
    <w:rsid w:val="008C5D53"/>
    <w:rsid w:val="008D7512"/>
    <w:rsid w:val="00936097"/>
    <w:rsid w:val="009A49F0"/>
    <w:rsid w:val="00A87B0F"/>
    <w:rsid w:val="00BD40E7"/>
    <w:rsid w:val="00C172A7"/>
    <w:rsid w:val="00C21606"/>
    <w:rsid w:val="00C34319"/>
    <w:rsid w:val="00C479A4"/>
    <w:rsid w:val="00C76072"/>
    <w:rsid w:val="00D25BA1"/>
    <w:rsid w:val="00D55866"/>
    <w:rsid w:val="00E940D3"/>
    <w:rsid w:val="00F14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B16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F14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14A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4</Pages>
  <Words>1042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2021-03-13T18:35:00Z</dcterms:created>
  <dcterms:modified xsi:type="dcterms:W3CDTF">2024-04-09T07:41:00Z</dcterms:modified>
</cp:coreProperties>
</file>