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b/>
          <w:sz w:val="56"/>
          <w:szCs w:val="56"/>
        </w:rPr>
      </w:pPr>
      <w:r>
        <w:rPr>
          <w:rFonts w:ascii="Times New Roman" w:hAnsi="Times New Roman" w:cs="Times New Roman"/>
          <w:b/>
          <w:sz w:val="56"/>
          <w:szCs w:val="56"/>
        </w:rPr>
        <w:t>ΔΙΕΚ ΝΑΥΠΛΙΟΥ</w:t>
      </w:r>
    </w:p>
    <w:p>
      <w:pPr>
        <w:spacing w:line="480" w:lineRule="auto"/>
        <w:jc w:val="center"/>
        <w:rPr>
          <w:rFonts w:ascii="Times New Roman" w:hAnsi="Times New Roman" w:cs="Times New Roman"/>
          <w:b/>
          <w:sz w:val="40"/>
          <w:szCs w:val="40"/>
        </w:rPr>
      </w:pPr>
      <w:r>
        <w:rPr>
          <w:rFonts w:ascii="Times New Roman" w:hAnsi="Times New Roman" w:cs="Times New Roman"/>
          <w:b/>
          <w:sz w:val="40"/>
          <w:szCs w:val="40"/>
        </w:rPr>
        <w:t>ΜΑΘΗΜΑ:ΑΡΧΕΣ ΟΙΚΟΝΟΜΙΚΗΣ ΘΕΩΡΙΑΣ</w:t>
      </w:r>
    </w:p>
    <w:p>
      <w:pPr>
        <w:spacing w:line="480" w:lineRule="auto"/>
        <w:jc w:val="center"/>
        <w:rPr>
          <w:rFonts w:hint="default" w:ascii="Times New Roman" w:hAnsi="Times New Roman" w:cs="Times New Roman"/>
          <w:b/>
          <w:sz w:val="40"/>
          <w:szCs w:val="40"/>
          <w:lang w:val="el-GR"/>
        </w:rPr>
      </w:pPr>
      <w:r>
        <w:rPr>
          <w:rFonts w:ascii="Times New Roman" w:hAnsi="Times New Roman" w:cs="Times New Roman"/>
          <w:b/>
          <w:sz w:val="40"/>
          <w:szCs w:val="40"/>
        </w:rPr>
        <w:t xml:space="preserve">ΕΙΔΙΚΟΤΗΤΑ: </w:t>
      </w:r>
      <w:r>
        <w:rPr>
          <w:rFonts w:ascii="Times New Roman" w:hAnsi="Times New Roman" w:cs="Times New Roman"/>
          <w:b/>
          <w:sz w:val="40"/>
          <w:szCs w:val="40"/>
          <w:lang w:val="el-GR"/>
        </w:rPr>
        <w:t>ΤΕΧΝΟΛΟΓΙΕΣ</w:t>
      </w:r>
      <w:r>
        <w:rPr>
          <w:rFonts w:hint="default" w:ascii="Times New Roman" w:hAnsi="Times New Roman" w:cs="Times New Roman"/>
          <w:b/>
          <w:sz w:val="40"/>
          <w:szCs w:val="40"/>
          <w:lang w:val="el-GR"/>
        </w:rPr>
        <w:t xml:space="preserve"> ΕΠΙΚΟΙΝΩΝΙΑΣ ΣΤΗΝ ΤΑΞΙΔΙΩΤΙΚΗ  ΒΙΟΜΗΧΑΝΙΑ</w:t>
      </w:r>
    </w:p>
    <w:p>
      <w:pPr>
        <w:spacing w:line="480" w:lineRule="auto"/>
        <w:jc w:val="center"/>
        <w:rPr>
          <w:rFonts w:hint="default" w:ascii="Times New Roman" w:hAnsi="Times New Roman" w:cs="Times New Roman"/>
          <w:b/>
          <w:sz w:val="32"/>
          <w:szCs w:val="32"/>
          <w:lang w:val="en-US"/>
        </w:rPr>
      </w:pPr>
      <w:r>
        <w:rPr>
          <w:rFonts w:ascii="Times New Roman" w:hAnsi="Times New Roman" w:cs="Times New Roman"/>
          <w:b/>
          <w:sz w:val="32"/>
          <w:szCs w:val="32"/>
        </w:rPr>
        <w:t>ΣΠΟΥΔΑΣΤΙΚΟ ΕΤΟΣ : 20</w:t>
      </w:r>
      <w:r>
        <w:rPr>
          <w:rFonts w:hint="default" w:ascii="Times New Roman" w:hAnsi="Times New Roman" w:cs="Times New Roman"/>
          <w:b/>
          <w:sz w:val="32"/>
          <w:szCs w:val="32"/>
          <w:lang w:val="en-US"/>
        </w:rPr>
        <w:t>23-2024</w:t>
      </w:r>
    </w:p>
    <w:p>
      <w:pPr>
        <w:spacing w:line="480" w:lineRule="auto"/>
        <w:jc w:val="center"/>
        <w:rPr>
          <w:rFonts w:ascii="Times New Roman" w:hAnsi="Times New Roman" w:cs="Times New Roman"/>
          <w:b/>
          <w:sz w:val="32"/>
          <w:szCs w:val="32"/>
        </w:rPr>
      </w:pPr>
      <w:r>
        <w:rPr>
          <w:rFonts w:ascii="Times New Roman" w:hAnsi="Times New Roman" w:cs="Times New Roman"/>
          <w:b/>
          <w:sz w:val="32"/>
          <w:szCs w:val="32"/>
        </w:rPr>
        <w:t>ΕΞΑΜΗΝΟ Α’ (20</w:t>
      </w:r>
      <w:r>
        <w:rPr>
          <w:rFonts w:hint="default" w:ascii="Times New Roman" w:hAnsi="Times New Roman" w:cs="Times New Roman"/>
          <w:b/>
          <w:sz w:val="32"/>
          <w:szCs w:val="32"/>
          <w:lang w:val="en-US"/>
        </w:rPr>
        <w:t>23</w:t>
      </w:r>
      <w:r>
        <w:rPr>
          <w:rFonts w:ascii="Times New Roman" w:hAnsi="Times New Roman" w:cs="Times New Roman"/>
          <w:b/>
          <w:sz w:val="32"/>
          <w:szCs w:val="32"/>
        </w:rPr>
        <w:t>Β)</w:t>
      </w:r>
    </w:p>
    <w:p>
      <w:pPr>
        <w:spacing w:line="480" w:lineRule="auto"/>
        <w:jc w:val="center"/>
        <w:rPr>
          <w:rFonts w:ascii="Times New Roman" w:hAnsi="Times New Roman" w:cs="Times New Roman"/>
          <w:b/>
          <w:sz w:val="32"/>
          <w:szCs w:val="32"/>
        </w:rPr>
      </w:pPr>
    </w:p>
    <w:p>
      <w:pPr>
        <w:spacing w:line="480" w:lineRule="auto"/>
        <w:jc w:val="center"/>
        <w:rPr>
          <w:rFonts w:ascii="Times New Roman" w:hAnsi="Times New Roman" w:cs="Times New Roman"/>
          <w:b/>
          <w:sz w:val="36"/>
          <w:szCs w:val="36"/>
        </w:rPr>
      </w:pPr>
      <w:r>
        <w:rPr>
          <w:rFonts w:ascii="Times New Roman" w:hAnsi="Times New Roman" w:cs="Times New Roman"/>
          <w:b/>
          <w:sz w:val="36"/>
          <w:szCs w:val="36"/>
        </w:rPr>
        <w:t xml:space="preserve">ΣΗΜΕΙΩΣΕΙΣ ΓΙΑ ΤΙΣ ΤΕΛΙΚΕΣ ΕΞΕΤΑΣΕΙΣ ΜΕ ΤΗ ΜΕΘΟΔΟ ΤΩΝ ΕΡΩΤΟΑΠΑΝΤΗΣΕΩΝ </w:t>
      </w:r>
    </w:p>
    <w:p>
      <w:pPr>
        <w:spacing w:line="480" w:lineRule="auto"/>
        <w:jc w:val="both"/>
        <w:rPr>
          <w:rFonts w:ascii="Times New Roman" w:hAnsi="Times New Roman" w:cs="Times New Roman"/>
          <w:b/>
          <w:sz w:val="28"/>
          <w:szCs w:val="28"/>
        </w:rPr>
      </w:pPr>
    </w:p>
    <w:p>
      <w:pPr>
        <w:spacing w:line="480" w:lineRule="auto"/>
        <w:jc w:val="right"/>
        <w:rPr>
          <w:rFonts w:ascii="Times New Roman" w:hAnsi="Times New Roman" w:cs="Times New Roman"/>
          <w:b/>
          <w:sz w:val="28"/>
          <w:szCs w:val="28"/>
        </w:rPr>
      </w:pPr>
      <w:r>
        <w:rPr>
          <w:rFonts w:ascii="Times New Roman" w:hAnsi="Times New Roman" w:cs="Times New Roman"/>
          <w:b/>
          <w:sz w:val="28"/>
          <w:szCs w:val="28"/>
        </w:rPr>
        <w:t>ΕΚΠΑΙΔΕΥΤΗΣ – ΕΙΣΗΓΗΤΗΣ : ΤΑΣΟΣ Γ. ΛΑΜΠΡΟΥ</w:t>
      </w:r>
    </w:p>
    <w:p>
      <w:pPr>
        <w:spacing w:line="480" w:lineRule="auto"/>
        <w:jc w:val="right"/>
        <w:rPr>
          <w:rFonts w:ascii="Times New Roman" w:hAnsi="Times New Roman" w:cs="Times New Roman"/>
          <w:b/>
          <w:sz w:val="28"/>
          <w:szCs w:val="28"/>
        </w:rPr>
      </w:pPr>
      <w:r>
        <w:rPr>
          <w:rFonts w:ascii="Times New Roman" w:hAnsi="Times New Roman" w:cs="Times New Roman"/>
          <w:b/>
          <w:sz w:val="28"/>
          <w:szCs w:val="28"/>
        </w:rPr>
        <w:t>ΠΕ78 ΚΟΙΝΩΝΙΚΩΝ ΕΠΙΣΤΗΜΩΝ</w:t>
      </w:r>
    </w:p>
    <w:p>
      <w:pPr>
        <w:spacing w:line="480" w:lineRule="auto"/>
        <w:jc w:val="right"/>
        <w:rPr>
          <w:rFonts w:ascii="Times New Roman" w:hAnsi="Times New Roman" w:cs="Times New Roman"/>
          <w:b/>
          <w:sz w:val="28"/>
          <w:szCs w:val="28"/>
        </w:rPr>
      </w:pPr>
    </w:p>
    <w:p>
      <w:pPr>
        <w:spacing w:line="480" w:lineRule="auto"/>
        <w:jc w:val="right"/>
        <w:rPr>
          <w:rFonts w:ascii="Times New Roman" w:hAnsi="Times New Roman" w:cs="Times New Roman"/>
          <w:b/>
          <w:sz w:val="28"/>
          <w:szCs w:val="28"/>
        </w:rPr>
      </w:pPr>
    </w:p>
    <w:p>
      <w:pPr>
        <w:pStyle w:val="4"/>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Παρουσιάστε τα βασικά χαρακτηριστικά της φάσης της ύφεσης ως μία φάση του οικονομικού κύκλου. </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Η φάση της ύφεσης, ως μία από τις φάσεις του οικονομικού κύκλου χαρακτηρίζεται από εκτεταμένη ανεργία, έλλειψη επενδύσεων και ανεπαρκή ζήτηση καταναλωτικών αγαθών, με αποτέλεσμα οι επιχειρήσεις που παράγουν τόσο καταναλωτικά όσο και κεφαλαιουχικά αγαθά να έχουν αχρησιμοποίητη παραγωγική δυνατότητα, παραγωγικούς συντελεστές (έδαφος, εργασία, κεφάλαιο). Η παραγωγή και το εισόδημα βρίσκονται στο χαμηλότερο επίπεδό τους. Οι τιμές των αγαθών παραμένουν σταθερές και τα κέρδη είναι πολύ χαμηλά. Μάλιστα πολλές επιχειρήσεις παρουσιάζουν μακροχρόνιες ζημιές και οδηγούνται στο κλείσιμο. Το γενικό </w:t>
      </w:r>
      <w:r>
        <w:rPr>
          <w:rFonts w:ascii="Times New Roman" w:hAnsi="Times New Roman" w:cs="Times New Roman"/>
          <w:sz w:val="28"/>
          <w:szCs w:val="28"/>
          <w:lang w:val="el-GR"/>
        </w:rPr>
        <w:t>επιχειρηματικό</w:t>
      </w:r>
      <w:r>
        <w:rPr>
          <w:rFonts w:ascii="Times New Roman" w:hAnsi="Times New Roman" w:cs="Times New Roman"/>
          <w:sz w:val="28"/>
          <w:szCs w:val="28"/>
        </w:rPr>
        <w:t xml:space="preserve"> κλίμα δεν είναι καλό, δεν είναι ευνοϊκό, επικρατεί απαισιοδοξία για το μέλλον.</w:t>
      </w:r>
    </w:p>
    <w:p>
      <w:pPr>
        <w:spacing w:line="240" w:lineRule="auto"/>
        <w:jc w:val="both"/>
        <w:rPr>
          <w:rFonts w:ascii="Times New Roman" w:hAnsi="Times New Roman" w:cs="Times New Roman"/>
          <w:sz w:val="28"/>
          <w:szCs w:val="28"/>
        </w:rPr>
      </w:pPr>
    </w:p>
    <w:p>
      <w:pPr>
        <w:pStyle w:val="4"/>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Παρουσιάστε τη φάση της ανόδου ως μία φάση του οικονομικού κύκλου.</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Η φάση της ύφεσης τελειώνει κάποτε, συμβαίνουν εξωγενείς και ενδογενείς παράγοντες που δίνουν ώθηση στην οικονομία και αρχίζει σταδιακά η ανοδική της πορεία. Μπορεί να συμβεί μία τ</w:t>
      </w:r>
      <w:r>
        <w:rPr>
          <w:rFonts w:hint="default" w:ascii="Times New Roman" w:hAnsi="Times New Roman" w:cs="Times New Roman"/>
          <w:sz w:val="28"/>
          <w:szCs w:val="28"/>
          <w:lang w:val="el-GR"/>
        </w:rPr>
        <w:t>ε</w:t>
      </w:r>
      <w:r>
        <w:rPr>
          <w:rFonts w:ascii="Times New Roman" w:hAnsi="Times New Roman" w:cs="Times New Roman"/>
          <w:sz w:val="28"/>
          <w:szCs w:val="28"/>
        </w:rPr>
        <w:t>χνολογική πρόοδος, ανακάλυψη νέων παραγωγικών συντελεστών, ανάληψη νέων ιδιωτικών επενδύσεων, μία αύξηση κρατικών δαπανών, ενθάρρυνση της ιδιωτικής πρωτοβουλίας και οδηγούμαστε στην ανοδική πορεία. Στην περίπτωση αυτή, θα έχουμε αύξηση εισοδήματος, της συνολικής ζήτησης, της παραγωγής και της απασχόλησης. Μάλιστα η αύξηση της παραγωγής θα είναι εύκολη γιατί υπάρχει από τη φάση της ύφεσης πλεονάζουσα παραγωγική δραστηριότητα, έχουμε διαθέσιμους παραγωγικούς συντελεστές. Άρα ακολουθεί η αύξηση της ζήτησης, αύξηση της παραγωγής, δημιουργία νέων θέσεων εργασίας, αυξάνονται τα κέρδη και αυτό δημιουργεί ευνοϊκό κλίμα για τις επενδύσεις.</w:t>
      </w:r>
    </w:p>
    <w:p>
      <w:pPr>
        <w:spacing w:line="240" w:lineRule="auto"/>
        <w:ind w:left="360"/>
        <w:jc w:val="both"/>
        <w:rPr>
          <w:rFonts w:ascii="Times New Roman" w:hAnsi="Times New Roman" w:cs="Times New Roman"/>
          <w:sz w:val="28"/>
          <w:szCs w:val="28"/>
        </w:rPr>
      </w:pPr>
    </w:p>
    <w:p>
      <w:pPr>
        <w:pStyle w:val="4"/>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Ποιοι παράγοντες συμβάλλουν στο φαινόμενο των διακυμάνσεων του οικονομικού κύκλου.</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Το φαινόμενο των οικονομικών διακυμάνσεων ή επιχειρηματικών κύκλων αποδίδεται σε εξωγενείς και σε ενδογενείς παράγοντες. Εξωγενείς (μη οικονομικοί) παράγοντες θεωρούνται εκείνοι που </w:t>
      </w: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βρίσκονται έξω από το οικονομικό σύστημα αλλά επιδρούν πάνω στην οικονομική δραστηριότητα. Οι εξωγενείς παράγοντες είναι πολλές φορές απρόβλεπτοι γιαυτό οι διακυμάνσεις που προκαλούν δεν έχουν σταθερό ρυθμό. Τέτοιοι παράγοντες είναι οι πόλεμοι, οι εφευρέσεις, οι φυσικές καταστροφές.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Ενδογενείς (οικονομικοί) παράγοντες θεωρούνται εκείνοι που προέρχονται από το ίδιο οικονομικό σύστημα και στην συνέχεια το επηρεάζουν. Τέτοιοι παράγοντες είναι η αύξηση ή μείωση της προσφοράς χρήματος, η εισοδηματική και νομισματική πολιτική, η υποκατανάλωση και </w:t>
      </w:r>
      <w:r>
        <w:rPr>
          <w:rFonts w:ascii="Times New Roman" w:hAnsi="Times New Roman" w:cs="Times New Roman"/>
          <w:sz w:val="28"/>
          <w:szCs w:val="28"/>
          <w:lang w:val="el-GR"/>
        </w:rPr>
        <w:t>υπέρ</w:t>
      </w:r>
      <w:r>
        <w:rPr>
          <w:rFonts w:hint="default" w:ascii="Times New Roman" w:hAnsi="Times New Roman" w:cs="Times New Roman"/>
          <w:sz w:val="28"/>
          <w:szCs w:val="28"/>
          <w:lang w:val="el-GR"/>
        </w:rPr>
        <w:t xml:space="preserve"> -</w:t>
      </w:r>
      <w:r>
        <w:rPr>
          <w:rFonts w:ascii="Times New Roman" w:hAnsi="Times New Roman" w:cs="Times New Roman"/>
          <w:sz w:val="28"/>
          <w:szCs w:val="28"/>
        </w:rPr>
        <w:t>επένδυση.</w:t>
      </w:r>
    </w:p>
    <w:p>
      <w:pPr>
        <w:spacing w:line="240" w:lineRule="auto"/>
        <w:jc w:val="both"/>
        <w:rPr>
          <w:rFonts w:ascii="Times New Roman" w:hAnsi="Times New Roman" w:cs="Times New Roman"/>
          <w:sz w:val="28"/>
          <w:szCs w:val="28"/>
        </w:rPr>
      </w:pPr>
    </w:p>
    <w:p>
      <w:pPr>
        <w:pStyle w:val="4"/>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Παρουσιάστε την έννοια του πληθωρισμού και τα είδη του πληθωρισμού.</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Ως πληθωρισμός καλείται η συνεχής και αισθητή </w:t>
      </w:r>
      <w:r>
        <w:rPr>
          <w:rFonts w:ascii="Times New Roman" w:hAnsi="Times New Roman" w:cs="Times New Roman"/>
          <w:sz w:val="28"/>
          <w:szCs w:val="28"/>
          <w:lang w:val="el-GR"/>
        </w:rPr>
        <w:t>αύξηση</w:t>
      </w:r>
      <w:r>
        <w:rPr>
          <w:rFonts w:ascii="Times New Roman" w:hAnsi="Times New Roman" w:cs="Times New Roman"/>
          <w:sz w:val="28"/>
          <w:szCs w:val="28"/>
        </w:rPr>
        <w:t xml:space="preserve"> (τιμών), η άνοδος του γενικού επιπέδου τιμών, με αποτέλεσμα τη συνεχή μείωση της αγοραστικής αξίας του χρήματος.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Διακρίνουμε δύο είδη πληθωρισμού.</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α) </w:t>
      </w:r>
      <w:r>
        <w:rPr>
          <w:rFonts w:ascii="Times New Roman" w:hAnsi="Times New Roman" w:cs="Times New Roman"/>
          <w:b/>
          <w:sz w:val="28"/>
          <w:szCs w:val="28"/>
          <w:u w:val="single"/>
        </w:rPr>
        <w:t xml:space="preserve">Τον πληθωρισμό ζήτησης. </w:t>
      </w:r>
      <w:r>
        <w:rPr>
          <w:rFonts w:ascii="Times New Roman" w:hAnsi="Times New Roman" w:cs="Times New Roman"/>
          <w:sz w:val="28"/>
          <w:szCs w:val="28"/>
        </w:rPr>
        <w:t>Είναι το αποτέλεσμα της υπερβολικής ζήτησης αγαθών και εκδηλώνεται σε οικονομίες που έφτασαν ή πλησιάζουν να φτάσουν σε επίπεδο πλήρους απασχόλησης των συντελεστών παραγωγής. Η αύξηση της τιμής των παραγωγικών συντελεστών προκαλεί αύξηση του κόστους παραγωγής και επειδή οι επιχειρηματίες επιθυμούν, τουλάχιστον το ίδιο κέρδος για τα προϊόντα τους, αυξάνεται η τιμή των προϊόντων τους. Με άλλα λόγια η αύξηση της συνολικής ζήτησης είναι εξ ορισμού πληθωριστική, εφόσον δεν αυξάνεται η παραγωγή.</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β) </w:t>
      </w:r>
      <w:r>
        <w:rPr>
          <w:rFonts w:ascii="Times New Roman" w:hAnsi="Times New Roman" w:cs="Times New Roman"/>
          <w:b/>
          <w:sz w:val="28"/>
          <w:szCs w:val="28"/>
          <w:u w:val="single"/>
        </w:rPr>
        <w:t>Τον πληθωρισμό κόστους.</w:t>
      </w:r>
      <w:r>
        <w:rPr>
          <w:rFonts w:ascii="Times New Roman" w:hAnsi="Times New Roman" w:cs="Times New Roman"/>
          <w:sz w:val="28"/>
          <w:szCs w:val="28"/>
        </w:rPr>
        <w:t xml:space="preserve"> Προέρχεται από την αύξηση του κόστους παραγωγής η οποία οφείλεται σε διάφορους παράγοντες που δρουν στην πλευρά της προσφοράς.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Αυτοί οι παράγοντες είναι: οι επιχειρήσεις με μονοπωλιακή ή ολιγοπωλιακή μορφή, οι τιμές των βασικών πρώτων υλών και της ενέργειας, ο ρόλος των εργαζομένων (εργατικά σωματεία) κλπ.</w:t>
      </w:r>
    </w:p>
    <w:p>
      <w:pPr>
        <w:spacing w:line="240" w:lineRule="auto"/>
        <w:jc w:val="both"/>
        <w:rPr>
          <w:rFonts w:ascii="Times New Roman" w:hAnsi="Times New Roman" w:cs="Times New Roman"/>
          <w:sz w:val="28"/>
          <w:szCs w:val="28"/>
        </w:rPr>
      </w:pPr>
    </w:p>
    <w:p>
      <w:pPr>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5.– Παρουσιάστε τη διάκριση των φόρων με κριτήριο τη φορολογική βάση του φόρου.</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Με κριτήριο τη φορολογική βάση του φόρου οι φόροι διακρίνονται:</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α) </w:t>
      </w:r>
      <w:r>
        <w:rPr>
          <w:rFonts w:ascii="Times New Roman" w:hAnsi="Times New Roman" w:cs="Times New Roman"/>
          <w:b/>
          <w:sz w:val="28"/>
          <w:szCs w:val="28"/>
          <w:u w:val="single"/>
        </w:rPr>
        <w:t>σε φόρους εισοδήματος</w:t>
      </w:r>
      <w:r>
        <w:rPr>
          <w:rFonts w:ascii="Times New Roman" w:hAnsi="Times New Roman" w:cs="Times New Roman"/>
          <w:sz w:val="28"/>
          <w:szCs w:val="28"/>
        </w:rPr>
        <w:t>. Οι φόροι αυτοί υπολογίζονται με βάση το εισόδημα του φορολογούμενου προσώπου φυσικού ή νομικού (δραστηριότητα, επιχείρησης, εταιρεία).</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β) </w:t>
      </w:r>
      <w:r>
        <w:rPr>
          <w:rFonts w:ascii="Times New Roman" w:hAnsi="Times New Roman" w:cs="Times New Roman"/>
          <w:b/>
          <w:sz w:val="28"/>
          <w:szCs w:val="28"/>
          <w:u w:val="single"/>
        </w:rPr>
        <w:t>σε φόρους περιουσίας.</w:t>
      </w:r>
      <w:r>
        <w:rPr>
          <w:rFonts w:ascii="Times New Roman" w:hAnsi="Times New Roman" w:cs="Times New Roman"/>
          <w:sz w:val="28"/>
          <w:szCs w:val="28"/>
        </w:rPr>
        <w:t xml:space="preserve"> Οι φόροι περιουσίας επιβαρύνουν τα πρόσωπα που κατέχουν ή μεταβιβάζουν περιουσία σε άλλους. Τέτοιοι φόροι είναι οι φόροι ακίνητης περιουσίας, οι φόροι μεταβίβασης ακινήτων, οι φόροι κληρονομιάς κλπ.</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γ) </w:t>
      </w:r>
      <w:r>
        <w:rPr>
          <w:rFonts w:ascii="Times New Roman" w:hAnsi="Times New Roman" w:cs="Times New Roman"/>
          <w:b/>
          <w:sz w:val="28"/>
          <w:szCs w:val="28"/>
          <w:u w:val="single"/>
        </w:rPr>
        <w:t>σε φόρους δαπάνης.</w:t>
      </w:r>
      <w:r>
        <w:rPr>
          <w:rFonts w:ascii="Times New Roman" w:hAnsi="Times New Roman" w:cs="Times New Roman"/>
          <w:sz w:val="28"/>
          <w:szCs w:val="28"/>
        </w:rPr>
        <w:t xml:space="preserve"> Οι φόροι δαπάνης είναι ουσιαστικά τα επιπλέον χρήματα που πληρώνει ο αγοραστής για την αγορά κάποιου αγαθού. Τα επιπλέον αυτά χρήματα καταλήγουν στο Κράτος και όχι στην τσέπη του επιχειρηματία που παράγει και προσφέρει το προϊόν στην αγορά. Τέτοιοι φόροι είναι συνήθως οι φόροι κατανάλωσης, ο ΦΠΑ (Φόρος Προστιθέμενης Αξίας), οι φόροι κατανάλωσης. Αξίζει να επισημάνουμε ότι οι φόροι εισοδήματος και οι φόροι περιουσίας είναι άμεσοι φόροι, επιβάλλονται στα άτομα απευθείας, ενώ οι φόροι δαπάνης είναι οι έμμεσοι επιβαρύνουν τα πρόσωπα έμμεσα αν προβούν στην αγορά ενός αγαθού.</w:t>
      </w:r>
    </w:p>
    <w:p>
      <w:pPr>
        <w:spacing w:line="240" w:lineRule="auto"/>
        <w:jc w:val="both"/>
        <w:rPr>
          <w:rFonts w:ascii="Times New Roman" w:hAnsi="Times New Roman" w:cs="Times New Roman"/>
          <w:sz w:val="28"/>
          <w:szCs w:val="28"/>
        </w:rPr>
      </w:pPr>
    </w:p>
    <w:p>
      <w:pPr>
        <w:spacing w:line="240" w:lineRule="auto"/>
        <w:jc w:val="both"/>
        <w:rPr>
          <w:rFonts w:ascii="Times New Roman" w:hAnsi="Times New Roman" w:cs="Times New Roman"/>
          <w:sz w:val="28"/>
          <w:szCs w:val="28"/>
        </w:rPr>
      </w:pPr>
    </w:p>
    <w:p>
      <w:pPr>
        <w:pStyle w:val="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Ποιες είναι οι κύριες λειτουργίες του χρήματος;</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Χρήμα καλείται καθετί που γίνεται γενικά αποδεκτό ως μέσο ανταλλαγής των αγαθών και ως μέτρο προσδιορισμού της αξίας τους. Οι βασικές λειτουργίες του χρήματος είναι οι εξής</w:t>
      </w:r>
      <w:r>
        <w:rPr>
          <w:rFonts w:ascii="Times New Roman" w:hAnsi="Times New Roman" w:cs="Times New Roman"/>
          <w:sz w:val="28"/>
          <w:szCs w:val="28"/>
          <w:lang w:val="en-US"/>
        </w:rPr>
        <w:t>:</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α) Γενικό μέσο ανταλλαγής των αγαθών</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β) Κοινό μέτρο της αξίας των αγαθών</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γ) Μέσο διατήρησης αγοραστικής δύναμης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δ) </w:t>
      </w:r>
      <w:r>
        <w:rPr>
          <w:rFonts w:ascii="Times New Roman" w:hAnsi="Times New Roman" w:cs="Times New Roman"/>
          <w:sz w:val="28"/>
          <w:szCs w:val="28"/>
          <w:lang w:val="el-GR"/>
        </w:rPr>
        <w:t>Μέσο</w:t>
      </w:r>
      <w:r>
        <w:rPr>
          <w:rFonts w:ascii="Times New Roman" w:hAnsi="Times New Roman" w:cs="Times New Roman"/>
          <w:sz w:val="28"/>
          <w:szCs w:val="28"/>
        </w:rPr>
        <w:t xml:space="preserve"> διαφύλαξης πλούτου και εξόφλησης οφειλών</w:t>
      </w:r>
    </w:p>
    <w:p>
      <w:pPr>
        <w:spacing w:line="240" w:lineRule="auto"/>
        <w:jc w:val="both"/>
        <w:rPr>
          <w:rFonts w:ascii="Times New Roman" w:hAnsi="Times New Roman" w:cs="Times New Roman"/>
          <w:sz w:val="28"/>
          <w:szCs w:val="28"/>
        </w:rPr>
      </w:pPr>
    </w:p>
    <w:p>
      <w:pPr>
        <w:spacing w:line="240" w:lineRule="auto"/>
        <w:jc w:val="both"/>
        <w:rPr>
          <w:rFonts w:ascii="Times New Roman" w:hAnsi="Times New Roman" w:cs="Times New Roman"/>
          <w:sz w:val="28"/>
          <w:szCs w:val="28"/>
        </w:rPr>
      </w:pPr>
    </w:p>
    <w:p>
      <w:pPr>
        <w:pStyle w:val="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Ποιες είναι οι λειτουργίες της κεντρικής- εκδοτικής Τράπεζας του Κράτους.</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Η Κεντρική τράπεζα της κάθε χώρας, η Τράπεζα της Ελλάδας συγκεκριμένα έχει τις παρακάτω βασικές λειτουργίες.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α) Είναι η Τράπεζα μέσω της οποίας ο δημόσιος τομέας διεκπεραιώνει ορισμένες συναλλαγές του, παραδείγματος χάρη πληρώνει μισθούς, δαπανά χρήματα για την υγεία, για την παιδεία, για την άμυνα κλπ.</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β) Είναι η Τράπεζα που ασκεί έλεγχο πάνω στη γενική λειτουργία των εμπορικών Τραπεζών.</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γ) Είναι η τράπεζα που έχει το αποκλειστικό δικαίωμα της έκδοσης χρήματος σε συνεργασία με την Ευρωπαϊκή Κεντρική Τράπεζα.</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δ) Είναι η Τράπεζα η οποία σε συνεργασία με την Κυβέρνηση ασκεί τη νομισματική και πιστωτική πολιτική και προσδιορίζει την ποσότητα χρήματος που κυκλοφορεί στην αγορά. </w:t>
      </w:r>
    </w:p>
    <w:p>
      <w:pPr>
        <w:spacing w:line="240" w:lineRule="auto"/>
        <w:jc w:val="both"/>
        <w:rPr>
          <w:rFonts w:ascii="Times New Roman" w:hAnsi="Times New Roman" w:cs="Times New Roman"/>
          <w:sz w:val="28"/>
          <w:szCs w:val="28"/>
        </w:rPr>
      </w:pPr>
    </w:p>
    <w:p>
      <w:pPr>
        <w:pStyle w:val="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Ποια είδη ανεργίας διακρίνουμε</w:t>
      </w:r>
      <w:r>
        <w:rPr>
          <w:rFonts w:ascii="Times New Roman" w:hAnsi="Times New Roman" w:cs="Times New Roman"/>
          <w:sz w:val="28"/>
          <w:szCs w:val="28"/>
          <w:lang w:val="en-US"/>
        </w:rPr>
        <w:t>;</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Στην σύγχρονη κοινωνία μας διακρίνουμε 4 είδη ανεργίας.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α) Την </w:t>
      </w:r>
      <w:r>
        <w:rPr>
          <w:rFonts w:ascii="Times New Roman" w:hAnsi="Times New Roman" w:cs="Times New Roman"/>
          <w:b/>
          <w:sz w:val="28"/>
          <w:szCs w:val="28"/>
          <w:u w:val="single"/>
        </w:rPr>
        <w:t>εποχιακή ανεργία</w:t>
      </w:r>
      <w:r>
        <w:rPr>
          <w:rFonts w:ascii="Times New Roman" w:hAnsi="Times New Roman" w:cs="Times New Roman"/>
          <w:sz w:val="28"/>
          <w:szCs w:val="28"/>
        </w:rPr>
        <w:t xml:space="preserve"> η οποία συνδέεται με εποχιακά επαγγέλματα και δραστηριότητες παραδείγματος χάρη τουρισμός, αγροτικές δραστηριότητες, στις οποίες για ένα τμήμα του έτους έχουμε επαγγελματική απασχόληση και για ένα άλλο τμήμα του έτους (παραδείγματος χάρη χειμερινοί μήνες) δεν έχουμε επαγγελματική δραστηριότητα άρα οι εργαζόμενοι σε αυτούς τους κλάδους οδηγούνται στην ανεργία. Κύριο μέλημα της Πολιτείας η διεύρυνση της τουριστικής – επαγγελματικής περιόδου.</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β) </w:t>
      </w:r>
      <w:r>
        <w:rPr>
          <w:rFonts w:ascii="Times New Roman" w:hAnsi="Times New Roman" w:cs="Times New Roman"/>
          <w:b/>
          <w:sz w:val="28"/>
          <w:szCs w:val="28"/>
          <w:u w:val="single"/>
        </w:rPr>
        <w:t>Διαρθωτική ανεργία, τεχνολογική ανεργία</w:t>
      </w:r>
      <w:r>
        <w:rPr>
          <w:rFonts w:ascii="Times New Roman" w:hAnsi="Times New Roman" w:cs="Times New Roman"/>
          <w:sz w:val="28"/>
          <w:szCs w:val="28"/>
        </w:rPr>
        <w:t>. Προκύπετι από τη μη προσαρμογή των εργαζομένων στις μεταβαλλόμενες συνθήκες που δημιουργεί στην εποχή μας η επανάσταση της υψηλής τεχνολογίας. Η μη προσαρμογή στην νέα επαγγελματική κοινωνική πραγματικότητα στην οποία κύριο ρόλο παίζει η τεχνολογική επανάσταση σε όλες τις μορφές της μπορεί να οδηγήσει πολλούς εργαζομένους στην ανεργία και στο περιθώριο της σύγχρονης κοινωνίας μας. Η Ευρωπαϊκή Ένωση και η ελληνική Πολιτεία παρεμβαίνει σημαντικά με προγράμματα επαγγελματικής κατάρτισης – εκπαίδευσης, με το θεσμό της δια βίου μάθησης για να εντάξει και πάλι τους εργαζόμενους στην αγορά εργασίας.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γ) </w:t>
      </w:r>
      <w:r>
        <w:rPr>
          <w:rFonts w:ascii="Times New Roman" w:hAnsi="Times New Roman" w:cs="Times New Roman"/>
          <w:b/>
          <w:sz w:val="28"/>
          <w:szCs w:val="28"/>
          <w:u w:val="single"/>
        </w:rPr>
        <w:t>Η ανεργία τριβής,</w:t>
      </w:r>
      <w:r>
        <w:rPr>
          <w:rFonts w:ascii="Times New Roman" w:hAnsi="Times New Roman" w:cs="Times New Roman"/>
          <w:sz w:val="28"/>
          <w:szCs w:val="28"/>
        </w:rPr>
        <w:t xml:space="preserve"> η οποία έχει σχέση με την έλλειψη ενημέρωσης και αποτελεσματικής επικοινωνίας των εργαζομένων στα πλαίσια μιας αποτελεσματικής εύρεσης αγοράς εργασίας. Επίσης η ανεργία τριβής έχει άμεση σχέση με κρίσιμες αποκλίσεις των εργαζομένων για αλλαγή τόπου εγκατάστασης επαγγελματικής δραστηριότητας με βάση τις πολλές περιφερειακές και τοπικές γεωγραφικές ανισότητες που υπάρχουν στην προσφορά και στη ζήτηση εργασίας.</w:t>
      </w: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δ) </w:t>
      </w:r>
      <w:r>
        <w:rPr>
          <w:rFonts w:ascii="Times New Roman" w:hAnsi="Times New Roman" w:cs="Times New Roman"/>
          <w:b/>
          <w:sz w:val="28"/>
          <w:szCs w:val="28"/>
          <w:u w:val="single"/>
        </w:rPr>
        <w:t>Η ανεργία του οικονομικού κύκλου της ύφεσης.</w:t>
      </w:r>
      <w:r>
        <w:rPr>
          <w:rFonts w:ascii="Times New Roman" w:hAnsi="Times New Roman" w:cs="Times New Roman"/>
          <w:sz w:val="28"/>
          <w:szCs w:val="28"/>
        </w:rPr>
        <w:t xml:space="preserve"> Όταν εμφανίζεται ο οικονομικός κύκλος της ύφεσης νομοτελειακά αυξάνεται το ποσοστό της ανεργίας, είναι αποτέλεσμα των συνθηκών που υπάρχουν στην οικονομία και ευρύτερα στην κοινωνία. </w:t>
      </w:r>
    </w:p>
    <w:p>
      <w:pPr>
        <w:spacing w:line="240" w:lineRule="auto"/>
        <w:jc w:val="both"/>
        <w:rPr>
          <w:rFonts w:ascii="Times New Roman" w:hAnsi="Times New Roman" w:cs="Times New Roman"/>
          <w:sz w:val="28"/>
          <w:szCs w:val="28"/>
        </w:rPr>
      </w:pPr>
    </w:p>
    <w:p>
      <w:pPr>
        <w:pStyle w:val="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Παρουσιάστε την έννοια και την όψη του ΑΕΠ ως δαπάνη.</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Το ακαθάριστο εθνικό προϊόν είναι η συνολική αξία σε χρηματικές μονάδες όλων των τελικών αγαθών και υπηρεσιών που παράγει μία οικονομία σε μία ορισμένη χρονική περίοδο συνήθως σε ένα έτος.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Το ΑΕΠ ως δαπάνη υπολογίζεται αν μελετήσουμε και προσθέσουμε:</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-το ύψος της κατανάλωσης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-το μέγεθος της ακαθάριστης ιδιωτικής επένδυσης</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 το μέγεθος ων κρατικών δαπανών</w:t>
      </w:r>
    </w:p>
    <w:p>
      <w:pPr>
        <w:pStyle w:val="4"/>
        <w:spacing w:line="240" w:lineRule="auto"/>
        <w:jc w:val="both"/>
        <w:rPr>
          <w:rFonts w:ascii="Times New Roman" w:hAnsi="Times New Roman" w:cs="Times New Roman"/>
          <w:sz w:val="28"/>
          <w:szCs w:val="28"/>
        </w:rPr>
      </w:pPr>
      <w:r>
        <w:rPr>
          <w:rFonts w:ascii="Times New Roman" w:hAnsi="Times New Roman" w:cs="Times New Roman"/>
          <w:sz w:val="28"/>
          <w:szCs w:val="28"/>
        </w:rPr>
        <w:t>Το ύψος της σχέσης (εξαγωγές – εισαγωγές)</w:t>
      </w:r>
    </w:p>
    <w:p>
      <w:pPr>
        <w:spacing w:line="240" w:lineRule="auto"/>
        <w:jc w:val="both"/>
        <w:rPr>
          <w:rFonts w:ascii="Times New Roman" w:hAnsi="Times New Roman" w:cs="Times New Roman"/>
          <w:sz w:val="28"/>
          <w:szCs w:val="28"/>
        </w:rPr>
      </w:pPr>
    </w:p>
    <w:p>
      <w:pPr>
        <w:pStyle w:val="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Τι γνωρίζετε για το κατά κεφαλήν εισόδημα ή το κατά κεφαλήν ΑΕΠ;</w:t>
      </w:r>
    </w:p>
    <w:p>
      <w:pPr>
        <w:pStyle w:val="4"/>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Το κατά κεφαλήν ΑΕΠ είναι ο λόγος του ΑΕΠ προς τον πληθυσμό μιας χώρας. Το κατά κεφαλήν εισόδημα δίνει το εισόδημα που θα αντιστοιχούσε σε κάθε άτομο μια κοινωνίας αν η κατανομή ήταν ίση. Το κατά κεφαλήν εισόδημα είναι ένας δείκτης και αποτελεί το καλύτερο μέτρο σύγκρισης της απόδοσης της οικονομίας από μία χρονική περίοδο στην άλλη. Το χρησιμοποιούμε στις διεθνείς συγκρίσεις; Η σύγκριση του κατά κεφαλήν εισοδήματος των διαφόρων χωρών γίνεται με ένα αποδεκτό νόμισμα – δολάριο ΗΠΑ, ευρώ στην Ευρωπαϊκή Ένωση. </w:t>
      </w:r>
    </w:p>
    <w:p>
      <w:pPr>
        <w:spacing w:line="480" w:lineRule="auto"/>
        <w:jc w:val="both"/>
        <w:rPr>
          <w:rFonts w:ascii="Times New Roman" w:hAnsi="Times New Roman" w:cs="Times New Roman"/>
          <w:b/>
          <w:sz w:val="28"/>
          <w:szCs w:val="28"/>
        </w:rPr>
      </w:pPr>
    </w:p>
    <w:p>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6523B"/>
    <w:multiLevelType w:val="multilevel"/>
    <w:tmpl w:val="4B66523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8821C6"/>
    <w:multiLevelType w:val="multilevel"/>
    <w:tmpl w:val="678821C6"/>
    <w:lvl w:ilvl="0" w:tentative="0">
      <w:start w:val="6"/>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78814326"/>
    <w:multiLevelType w:val="multilevel"/>
    <w:tmpl w:val="78814326"/>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70"/>
    <w:rsid w:val="00092979"/>
    <w:rsid w:val="00457F67"/>
    <w:rsid w:val="006059BB"/>
    <w:rsid w:val="006F486A"/>
    <w:rsid w:val="00875988"/>
    <w:rsid w:val="0095220D"/>
    <w:rsid w:val="00B01EE3"/>
    <w:rsid w:val="00B51770"/>
    <w:rsid w:val="00F71341"/>
    <w:rsid w:val="00FE51B4"/>
    <w:rsid w:val="2F713918"/>
    <w:rsid w:val="3E9F500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6</Pages>
  <Words>1427</Words>
  <Characters>7712</Characters>
  <Lines>64</Lines>
  <Paragraphs>18</Paragraphs>
  <TotalTime>5</TotalTime>
  <ScaleCrop>false</ScaleCrop>
  <LinksUpToDate>false</LinksUpToDate>
  <CharactersWithSpaces>9121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2020-01-25T22:56:00Z</dcterms:created>
  <dc:creator>Maria Liossi</dc:creator>
  <cp:lastModifiedBy>matula</cp:lastModifiedBy>
  <dcterms:modified xsi:type="dcterms:W3CDTF">2024-01-24T06:38:07Z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B7B29391EC3649CF872D8310185ED9C2_12</vt:lpwstr>
  </property>
</Properties>
</file>